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5545" w14:textId="58B9AF3F" w:rsidR="00042DC8" w:rsidRDefault="008D60F1" w:rsidP="008D60F1">
      <w:pPr>
        <w:pStyle w:val="Title"/>
      </w:pPr>
      <w:r>
        <w:t>Notes on Statistical Pattern Recognition</w:t>
      </w:r>
    </w:p>
    <w:p w14:paraId="7C3C182A" w14:textId="4193CA4A" w:rsidR="008D60F1" w:rsidRDefault="008D60F1">
      <w:r>
        <w:t>Compiled by D. Gueorguiev , 11/22/24</w:t>
      </w:r>
    </w:p>
    <w:p w14:paraId="4CA9B747" w14:textId="77777777" w:rsidR="008D60F1" w:rsidRDefault="008D60F1"/>
    <w:p w14:paraId="78D30B46" w14:textId="7A159E2F" w:rsidR="008D60F1" w:rsidRDefault="008D60F1" w:rsidP="008D60F1">
      <w:pPr>
        <w:pStyle w:val="Heading1"/>
      </w:pPr>
      <w:r>
        <w:t>Elementary Decision Theory</w:t>
      </w:r>
    </w:p>
    <w:p w14:paraId="16D540B6" w14:textId="77777777" w:rsidR="00F57FB2" w:rsidRDefault="00F57FB2"/>
    <w:p w14:paraId="2171C39F" w14:textId="34A77236" w:rsidR="008D60F1" w:rsidRDefault="00F57FB2" w:rsidP="00F57FB2">
      <w:pPr>
        <w:pStyle w:val="Heading2"/>
      </w:pPr>
      <w:r>
        <w:t>Bayes’ Decision Rule for Minimum Error</w:t>
      </w:r>
    </w:p>
    <w:p w14:paraId="05157577" w14:textId="77777777" w:rsidR="00F57FB2" w:rsidRDefault="00F57FB2"/>
    <w:p w14:paraId="3ACAF513" w14:textId="2213DA32" w:rsidR="00F57FB2" w:rsidRDefault="00F57FB2">
      <w:r>
        <w:t xml:space="preserve">Consider </w:t>
      </w:r>
      <m:oMath>
        <m:r>
          <w:rPr>
            <w:rFonts w:ascii="Cambria Math" w:hAnsi="Cambria Math"/>
          </w:rPr>
          <m:t>C</m:t>
        </m:r>
      </m:oMath>
      <w:r>
        <w:t xml:space="preserve"> classes ,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with </w:t>
      </w:r>
      <w:r w:rsidRPr="00F57FB2">
        <w:rPr>
          <w:i/>
          <w:iCs/>
        </w:rPr>
        <w:t>a priori</w:t>
      </w:r>
      <w:r>
        <w:t xml:space="preserve"> probabilities (the probabilities of each class occurring)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e>
        </m:d>
      </m:oMath>
      <w:r>
        <w:t>, assumed known. If we wish to minimize the probability of making an error and we have no information regarding an object other than the class probability distribution, then we would assign an object</w:t>
      </w:r>
      <w:r w:rsidRPr="00F57FB2">
        <w:t xml:space="preserve"> to class</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w:t>
      </w:r>
    </w:p>
    <w:p w14:paraId="634862E2" w14:textId="77777777" w:rsidR="00F57FB2" w:rsidRDefault="00F57FB2"/>
    <w:p w14:paraId="67BEE05E" w14:textId="7FA053DD" w:rsidR="00F57FB2" w:rsidRDefault="00F57FB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xml:space="preserve">&gt;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p>
    <w:p w14:paraId="5387F20E" w14:textId="77777777" w:rsidR="00F57FB2" w:rsidRDefault="00F57FB2"/>
    <w:p w14:paraId="28EE61E7" w14:textId="7B75BA88" w:rsidR="00F57FB2" w:rsidRDefault="00892FF8">
      <w:r>
        <w:t xml:space="preserve">This classifies all objects as belonging to one class: the class with the largest prior probability. For classes with equal prior probabilities, patterns are assigned arbitrarily between those classes. </w:t>
      </w:r>
    </w:p>
    <w:p w14:paraId="0B966BF9" w14:textId="434267CD" w:rsidR="00892FF8" w:rsidRDefault="006D29A2">
      <w:r>
        <w:t xml:space="preserve">     However, we do have an </w:t>
      </w:r>
      <w:r w:rsidRPr="006D29A2">
        <w:rPr>
          <w:i/>
          <w:iCs/>
        </w:rPr>
        <w:t>observation vector</w:t>
      </w:r>
      <w:r>
        <w:t xml:space="preserve"> or </w:t>
      </w:r>
      <w:r w:rsidRPr="006D29A2">
        <w:rPr>
          <w:i/>
          <w:iCs/>
        </w:rPr>
        <w:t>measurement vector</w:t>
      </w:r>
      <w:r>
        <w:t xml:space="preserve"> </w:t>
      </w:r>
      <m:oMath>
        <m:acc>
          <m:accPr>
            <m:chr m:val="⃗"/>
            <m:ctrlPr>
              <w:rPr>
                <w:rFonts w:ascii="Cambria Math" w:hAnsi="Cambria Math"/>
                <w:i/>
              </w:rPr>
            </m:ctrlPr>
          </m:accPr>
          <m:e>
            <m:r>
              <w:rPr>
                <w:rFonts w:ascii="Cambria Math" w:hAnsi="Cambria Math"/>
              </w:rPr>
              <m:t>x</m:t>
            </m:r>
          </m:e>
        </m:acc>
      </m:oMath>
      <w:r>
        <w:t xml:space="preserve"> and we wish to assign an object to one of the </w:t>
      </w:r>
      <m:oMath>
        <m:r>
          <w:rPr>
            <w:rFonts w:ascii="Cambria Math" w:hAnsi="Cambria Math"/>
          </w:rPr>
          <m:t>C</m:t>
        </m:r>
      </m:oMath>
      <w:r>
        <w:t xml:space="preserve"> classes based on the measurements </w:t>
      </w:r>
      <m:oMath>
        <m:acc>
          <m:accPr>
            <m:chr m:val="⃗"/>
            <m:ctrlPr>
              <w:rPr>
                <w:rFonts w:ascii="Cambria Math" w:hAnsi="Cambria Math"/>
                <w:i/>
              </w:rPr>
            </m:ctrlPr>
          </m:accPr>
          <m:e>
            <m:r>
              <w:rPr>
                <w:rFonts w:ascii="Cambria Math" w:hAnsi="Cambria Math"/>
              </w:rPr>
              <m:t>x</m:t>
            </m:r>
          </m:e>
        </m:acc>
      </m:oMath>
      <w:r>
        <w:t xml:space="preserve">. A decision rule based on probabilities is to assign </w:t>
      </w:r>
      <m:oMath>
        <m:acc>
          <m:accPr>
            <m:chr m:val="⃗"/>
            <m:ctrlPr>
              <w:rPr>
                <w:rFonts w:ascii="Cambria Math" w:hAnsi="Cambria Math"/>
                <w:i/>
              </w:rPr>
            </m:ctrlPr>
          </m:accPr>
          <m:e>
            <m:r>
              <w:rPr>
                <w:rFonts w:ascii="Cambria Math" w:hAnsi="Cambria Math"/>
              </w:rPr>
              <m:t>x</m:t>
            </m:r>
          </m:e>
        </m:acc>
      </m:oMath>
      <w:r>
        <w:t xml:space="preserve"> (here we refer to an object in terms of its measurement vector)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the probability of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given the observation </w:t>
      </w:r>
      <m:oMath>
        <m:acc>
          <m:accPr>
            <m:chr m:val="⃗"/>
            <m:ctrlPr>
              <w:rPr>
                <w:rFonts w:ascii="Cambria Math" w:hAnsi="Cambria Math"/>
                <w:i/>
              </w:rPr>
            </m:ctrlPr>
          </m:accPr>
          <m:e>
            <m:r>
              <w:rPr>
                <w:rFonts w:ascii="Cambria Math" w:hAnsi="Cambria Math"/>
              </w:rPr>
              <m:t>x</m:t>
            </m:r>
          </m:e>
        </m:acc>
      </m:oMath>
      <w:r>
        <w:t xml:space="preserve">, 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is greatest over all classes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That is, assign </w:t>
      </w:r>
      <m:oMath>
        <m:acc>
          <m:accPr>
            <m:chr m:val="⃗"/>
            <m:ctrlPr>
              <w:rPr>
                <w:rFonts w:ascii="Cambria Math" w:hAnsi="Cambria Math"/>
                <w:i/>
              </w:rPr>
            </m:ctrlPr>
          </m:accPr>
          <m:e>
            <m:r>
              <w:rPr>
                <w:rFonts w:ascii="Cambria Math" w:hAnsi="Cambria Math"/>
              </w:rPr>
              <m:t>x</m:t>
            </m:r>
          </m:e>
        </m:acc>
      </m:oMath>
      <w:r>
        <w:t xml:space="preserve">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1E3169F9" w14:textId="77777777" w:rsidR="006D29A2" w:rsidRDefault="006D29A2"/>
    <w:p w14:paraId="6FE48192" w14:textId="34638C70" w:rsidR="006D29A2" w:rsidRDefault="006D29A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rsidR="00EF1BA5">
        <w:t xml:space="preserve">                  (1)</w:t>
      </w:r>
    </w:p>
    <w:p w14:paraId="2BB616ED" w14:textId="77777777" w:rsidR="006D29A2" w:rsidRDefault="006D29A2"/>
    <w:p w14:paraId="51C06F23" w14:textId="6B57644E" w:rsidR="006D29A2" w:rsidRDefault="006D29A2">
      <w:r>
        <w:t xml:space="preserve">This decision rule partitions the measurement space into </w:t>
      </w:r>
      <m:oMath>
        <m:r>
          <w:rPr>
            <w:rFonts w:ascii="Cambria Math" w:hAnsi="Cambria Math"/>
          </w:rPr>
          <m:t>C</m:t>
        </m:r>
      </m:oMath>
      <w:r>
        <w:t xml:space="preserv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oMath>
      <w:r w:rsidR="00EF1BA5">
        <w:t xml:space="preserve"> such that if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then </w:t>
      </w:r>
      <m:oMath>
        <m:acc>
          <m:accPr>
            <m:chr m:val="⃗"/>
            <m:ctrlPr>
              <w:rPr>
                <w:rFonts w:ascii="Cambria Math" w:hAnsi="Cambria Math"/>
                <w:i/>
              </w:rPr>
            </m:ctrlPr>
          </m:accPr>
          <m:e>
            <m:r>
              <w:rPr>
                <w:rFonts w:ascii="Cambria Math" w:hAnsi="Cambria Math"/>
              </w:rPr>
              <m:t>x</m:t>
            </m:r>
          </m:e>
        </m:acc>
      </m:oMath>
      <w:r w:rsidR="00EF1BA5">
        <w:t xml:space="preserve"> belongs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EF1BA5">
        <w:t xml:space="preserve">. The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may be disconnected.</w:t>
      </w:r>
    </w:p>
    <w:p w14:paraId="04FB9BD9" w14:textId="366163BC" w:rsidR="00EF1BA5" w:rsidRDefault="00EF1BA5">
      <w:r>
        <w:t xml:space="preserve">     The </w:t>
      </w:r>
      <w:r w:rsidRPr="00EF1BA5">
        <w:rPr>
          <w:i/>
          <w:iCs/>
        </w:rPr>
        <w:t>a posteriori</w:t>
      </w:r>
      <w:r>
        <w:t xml:space="preserv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may be expressed in terms of the </w:t>
      </w:r>
      <w:r w:rsidRPr="00EF1BA5">
        <w:rPr>
          <w:i/>
          <w:iCs/>
        </w:rPr>
        <w:t>a priori</w:t>
      </w:r>
      <w:r>
        <w:t xml:space="preserve"> probabilities and the class conditional density functions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using Bayes’ theorem as </w:t>
      </w:r>
    </w:p>
    <w:p w14:paraId="05AA368C" w14:textId="77777777" w:rsidR="00EF1BA5" w:rsidRDefault="00EF1BA5"/>
    <w:p w14:paraId="5A8469BE" w14:textId="3A150AC5" w:rsidR="00EF1BA5" w:rsidRDefault="00EF1BA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 xml:space="preserve">  </w:t>
      </w:r>
    </w:p>
    <w:p w14:paraId="5A14E063" w14:textId="77777777" w:rsidR="00EF1BA5" w:rsidRDefault="00EF1BA5"/>
    <w:p w14:paraId="5511D6D5" w14:textId="4534E2BC" w:rsidR="00EF1BA5" w:rsidRDefault="00EF1BA5">
      <w:r>
        <w:t xml:space="preserve">and so the decision rule (1) may be written: assign </w:t>
      </w:r>
      <m:oMath>
        <m:acc>
          <m:accPr>
            <m:chr m:val="⃗"/>
            <m:ctrlPr>
              <w:rPr>
                <w:rFonts w:ascii="Cambria Math" w:hAnsi="Cambria Math"/>
                <w:i/>
              </w:rPr>
            </m:ctrlPr>
          </m:accPr>
          <m:e>
            <m:r>
              <w:rPr>
                <w:rFonts w:ascii="Cambria Math" w:hAnsi="Cambria Math"/>
              </w:rPr>
              <m:t>x</m:t>
            </m:r>
          </m:e>
        </m:acc>
      </m:oMath>
      <w:r>
        <w:t xml:space="preserve"> to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0EEF13E2" w14:textId="77777777" w:rsidR="00EF1BA5" w:rsidRDefault="00EF1BA5"/>
    <w:p w14:paraId="4AE95422" w14:textId="5D62A0ED" w:rsidR="00812F75" w:rsidRDefault="00812F75" w:rsidP="00812F7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t xml:space="preserve">                  (</w:t>
      </w:r>
      <w:r>
        <w:t>2</w:t>
      </w:r>
      <w:r>
        <w:t>)</w:t>
      </w:r>
    </w:p>
    <w:p w14:paraId="2C0C12C4" w14:textId="77777777" w:rsidR="00812F75" w:rsidRDefault="00812F75" w:rsidP="00812F75"/>
    <w:p w14:paraId="2920FFDF" w14:textId="5FA48F4C" w:rsidR="00812F75" w:rsidRDefault="00812F75" w:rsidP="00812F75">
      <w:r>
        <w:t xml:space="preserve">This is known as Bayes’ rule for </w:t>
      </w:r>
      <w:r w:rsidRPr="00812F75">
        <w:rPr>
          <w:i/>
          <w:iCs/>
        </w:rPr>
        <w:t>minimum error</w:t>
      </w:r>
      <w:r>
        <w:t>.</w:t>
      </w:r>
    </w:p>
    <w:p w14:paraId="563C955B" w14:textId="373C10EB" w:rsidR="00812F75" w:rsidRDefault="00336E6E" w:rsidP="00812F75">
      <w:r>
        <w:t>For two classes, the decision rule (1.2) may be written:</w:t>
      </w:r>
    </w:p>
    <w:p w14:paraId="45851538" w14:textId="77777777" w:rsidR="00336E6E" w:rsidRDefault="00336E6E" w:rsidP="00812F75"/>
    <w:p w14:paraId="18E42C6C" w14:textId="4FDFBD73" w:rsidR="00336E6E" w:rsidRDefault="00336E6E" w:rsidP="00812F75">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r>
          <w:rPr>
            <w:rFonts w:ascii="Cambria Math" w:hAnsi="Cambria Math"/>
          </w:rPr>
          <m:t>&gt;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r>
        <w:t xml:space="preserve"> implies </w:t>
      </w:r>
      <m:oMath>
        <m:acc>
          <m:accPr>
            <m:chr m:val="⃗"/>
            <m:ctrlPr>
              <w:rPr>
                <w:rFonts w:ascii="Cambria Math" w:hAnsi="Cambria Math"/>
                <w:i/>
              </w:rPr>
            </m:ctrlPr>
          </m:accPr>
          <m:e>
            <m:r>
              <w:rPr>
                <w:rFonts w:ascii="Cambria Math" w:hAnsi="Cambria Math"/>
              </w:rPr>
              <m:t>x</m:t>
            </m:r>
          </m:e>
        </m:acc>
        <m:r>
          <w:rPr>
            <w:rFonts w:ascii="Cambria Math" w:hAnsi="Cambria Math"/>
          </w:rPr>
          <m:t xml:space="preserve">∈class </m:t>
        </m:r>
        <m:sSub>
          <m:sSubPr>
            <m:ctrlPr>
              <w:rPr>
                <w:rFonts w:ascii="Cambria Math" w:hAnsi="Cambria Math"/>
                <w:i/>
              </w:rPr>
            </m:ctrlPr>
          </m:sSubPr>
          <m:e>
            <m:r>
              <w:rPr>
                <w:rFonts w:ascii="Cambria Math" w:hAnsi="Cambria Math"/>
              </w:rPr>
              <m:t>ω</m:t>
            </m:r>
          </m:e>
          <m:sub>
            <m:r>
              <w:rPr>
                <w:rFonts w:ascii="Cambria Math" w:hAnsi="Cambria Math"/>
              </w:rPr>
              <m:t>1</m:t>
            </m:r>
          </m:sub>
        </m:sSub>
      </m:oMath>
    </w:p>
    <w:p w14:paraId="5710A64A" w14:textId="77777777" w:rsidR="00336E6E" w:rsidRDefault="00336E6E" w:rsidP="00812F75"/>
    <w:p w14:paraId="0387F4F3" w14:textId="0C2D9B88" w:rsidR="00336E6E" w:rsidRDefault="00F83ABB" w:rsidP="00812F75">
      <w:r>
        <w:t xml:space="preserve">The function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w:t>
      </w:r>
      <w:r w:rsidRPr="00A10ECD">
        <w:rPr>
          <w:i/>
          <w:iCs/>
        </w:rPr>
        <w:t>likelihood ratio</w:t>
      </w:r>
      <w:r>
        <w:t>.</w:t>
      </w:r>
    </w:p>
    <w:p w14:paraId="5DA8F974" w14:textId="0E4E6D74" w:rsidR="00F77790" w:rsidRDefault="00F77790" w:rsidP="00812F75">
      <w:r>
        <w:t>The Figure</w:t>
      </w:r>
      <w:r w:rsidR="004E65DA">
        <w:t xml:space="preserve"> 1</w:t>
      </w:r>
      <w:r>
        <w:t xml:space="preserve"> below </w:t>
      </w:r>
      <w:r w:rsidR="004E65DA">
        <w:t xml:space="preserve">shows an example of two-class discrimination problem.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4E65DA">
        <w:t xml:space="preserve"> is normally distributed with zero mean and unit variance </w:t>
      </w:r>
    </w:p>
    <w:p w14:paraId="3ED404E4" w14:textId="4F305053" w:rsidR="00F77790" w:rsidRDefault="00F77790" w:rsidP="00812F75">
      <w:r>
        <w:rPr>
          <w:noProof/>
        </w:rPr>
        <w:lastRenderedPageBreak/>
        <w:drawing>
          <wp:anchor distT="0" distB="0" distL="114300" distR="114300" simplePos="0" relativeHeight="251658240" behindDoc="0" locked="0" layoutInCell="1" allowOverlap="1" wp14:anchorId="62108B4E" wp14:editId="597E11A2">
            <wp:simplePos x="0" y="0"/>
            <wp:positionH relativeFrom="column">
              <wp:posOffset>0</wp:posOffset>
            </wp:positionH>
            <wp:positionV relativeFrom="paragraph">
              <wp:posOffset>0</wp:posOffset>
            </wp:positionV>
            <wp:extent cx="3367668" cy="1910503"/>
            <wp:effectExtent l="0" t="0" r="0" b="0"/>
            <wp:wrapTopAndBottom/>
            <wp:docPr id="659152527"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52527" name="Picture 1" descr="A diagram of a func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7668" cy="1910503"/>
                    </a:xfrm>
                    <a:prstGeom prst="rect">
                      <a:avLst/>
                    </a:prstGeom>
                  </pic:spPr>
                </pic:pic>
              </a:graphicData>
            </a:graphic>
            <wp14:sizeRelH relativeFrom="page">
              <wp14:pctWidth>0</wp14:pctWidth>
            </wp14:sizeRelH>
            <wp14:sizeRelV relativeFrom="page">
              <wp14:pctHeight>0</wp14:pctHeight>
            </wp14:sizeRelV>
          </wp:anchor>
        </w:drawing>
      </w:r>
      <w:r>
        <w:t xml:space="preserve">Figure: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for classes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 for </w:t>
      </w:r>
      <m:oMath>
        <m:r>
          <w:rPr>
            <w:rFonts w:ascii="Cambria Math" w:hAnsi="Cambria Math"/>
          </w:rPr>
          <m:t>x</m:t>
        </m:r>
      </m:oMath>
      <w:r>
        <w:t xml:space="preserve"> in region </w:t>
      </w:r>
      <m:oMath>
        <m:r>
          <w:rPr>
            <w:rFonts w:ascii="Cambria Math" w:hAnsi="Cambria Math"/>
          </w:rPr>
          <m:t>A</m:t>
        </m:r>
      </m:oMath>
      <w:r>
        <w:t xml:space="preserve">, </w:t>
      </w:r>
      <m:oMath>
        <m:r>
          <w:rPr>
            <w:rFonts w:ascii="Cambria Math" w:hAnsi="Cambria Math"/>
          </w:rPr>
          <m:t>x</m:t>
        </m:r>
      </m:oMath>
      <w:r>
        <w:t xml:space="preserve"> is assigned to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w:t>
      </w:r>
    </w:p>
    <w:p w14:paraId="00BC24B5" w14:textId="77777777" w:rsidR="00812F75" w:rsidRDefault="00812F75" w:rsidP="00812F75"/>
    <w:p w14:paraId="4BACBECF" w14:textId="3E9D79B4" w:rsidR="00EF1BA5" w:rsidRDefault="004E65DA">
      <w:r>
        <w:t xml:space="preserve">The function </w:t>
      </w:r>
    </w:p>
    <w:p w14:paraId="63E6BC7F" w14:textId="7D0A6CE4" w:rsidR="00892FF8" w:rsidRPr="00F57FB2" w:rsidRDefault="006D29A2">
      <w:r>
        <w:t xml:space="preserve">    </w:t>
      </w:r>
    </w:p>
    <w:p w14:paraId="04F811C6" w14:textId="714108FB" w:rsidR="00F57FB2" w:rsidRDefault="004E65DA">
      <w:r>
        <w:rPr>
          <w:noProof/>
        </w:rPr>
        <w:drawing>
          <wp:anchor distT="0" distB="0" distL="114300" distR="114300" simplePos="0" relativeHeight="251659264" behindDoc="0" locked="0" layoutInCell="1" allowOverlap="1" wp14:anchorId="67027101" wp14:editId="151D92B5">
            <wp:simplePos x="0" y="0"/>
            <wp:positionH relativeFrom="column">
              <wp:posOffset>0</wp:posOffset>
            </wp:positionH>
            <wp:positionV relativeFrom="paragraph">
              <wp:posOffset>0</wp:posOffset>
            </wp:positionV>
            <wp:extent cx="2900363" cy="1703344"/>
            <wp:effectExtent l="0" t="0" r="0" b="0"/>
            <wp:wrapTopAndBottom/>
            <wp:docPr id="498939554"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9554" name="Picture 2" descr="A diagram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0363" cy="1703344"/>
                    </a:xfrm>
                    <a:prstGeom prst="rect">
                      <a:avLst/>
                    </a:prstGeom>
                  </pic:spPr>
                </pic:pic>
              </a:graphicData>
            </a:graphic>
            <wp14:sizeRelH relativeFrom="page">
              <wp14:pctWidth>0</wp14:pctWidth>
            </wp14:sizeRelH>
            <wp14:sizeRelV relativeFrom="page">
              <wp14:pctHeight>0</wp14:pctHeight>
            </wp14:sizeRelV>
          </wp:anchor>
        </w:drawing>
      </w:r>
    </w:p>
    <w:p w14:paraId="1E5B6E69" w14:textId="77777777" w:rsidR="00F57FB2" w:rsidRDefault="00F57FB2"/>
    <w:p w14:paraId="61C3CEFD" w14:textId="77777777" w:rsidR="004E65DA" w:rsidRDefault="004E65DA"/>
    <w:p w14:paraId="6CC53E15" w14:textId="77777777" w:rsidR="004E65DA" w:rsidRDefault="004E65DA"/>
    <w:p w14:paraId="19A544BD" w14:textId="77777777" w:rsidR="004E65DA" w:rsidRDefault="004E65DA"/>
    <w:p w14:paraId="5199203A" w14:textId="77777777" w:rsidR="00F57FB2" w:rsidRDefault="00F57FB2"/>
    <w:p w14:paraId="227F9B60" w14:textId="639CA3CD" w:rsidR="008D60F1" w:rsidRDefault="008D60F1" w:rsidP="008D60F1">
      <w:pPr>
        <w:pStyle w:val="Heading1"/>
      </w:pPr>
      <w:r>
        <w:t>References</w:t>
      </w:r>
    </w:p>
    <w:p w14:paraId="69E5E87B" w14:textId="168FF55E" w:rsidR="008D60F1" w:rsidRDefault="00EB3710">
      <w:hyperlink r:id="rId6" w:history="1">
        <w:r w:rsidR="008D60F1" w:rsidRPr="00EB3710">
          <w:rPr>
            <w:rStyle w:val="Hyperlink"/>
          </w:rPr>
          <w:t>Statistical Pattern Recognition, A</w:t>
        </w:r>
        <w:r w:rsidR="00F57FB2" w:rsidRPr="00EB3710">
          <w:rPr>
            <w:rStyle w:val="Hyperlink"/>
          </w:rPr>
          <w:t>ndrew</w:t>
        </w:r>
        <w:r w:rsidR="008D60F1" w:rsidRPr="00EB3710">
          <w:rPr>
            <w:rStyle w:val="Hyperlink"/>
          </w:rPr>
          <w:t xml:space="preserve"> Webb, K</w:t>
        </w:r>
        <w:r w:rsidR="00F57FB2" w:rsidRPr="00EB3710">
          <w:rPr>
            <w:rStyle w:val="Hyperlink"/>
          </w:rPr>
          <w:t>eith</w:t>
        </w:r>
        <w:r w:rsidR="008D60F1" w:rsidRPr="00EB3710">
          <w:rPr>
            <w:rStyle w:val="Hyperlink"/>
          </w:rPr>
          <w:t xml:space="preserve"> Copsey, 3</w:t>
        </w:r>
        <w:r w:rsidR="008D60F1" w:rsidRPr="00EB3710">
          <w:rPr>
            <w:rStyle w:val="Hyperlink"/>
            <w:vertAlign w:val="superscript"/>
          </w:rPr>
          <w:t>rd</w:t>
        </w:r>
        <w:r w:rsidR="008D60F1" w:rsidRPr="00EB3710">
          <w:rPr>
            <w:rStyle w:val="Hyperlink"/>
          </w:rPr>
          <w:t xml:space="preserve"> Edition, 2011</w:t>
        </w:r>
      </w:hyperlink>
    </w:p>
    <w:p w14:paraId="07844242" w14:textId="6F8172FB" w:rsidR="00F57FB2" w:rsidRPr="00F57FB2" w:rsidRDefault="00F57FB2">
      <w:hyperlink r:id="rId7" w:history="1">
        <w:r w:rsidRPr="00F57FB2">
          <w:rPr>
            <w:rStyle w:val="Hyperlink"/>
            <w:rFonts w:cs="Segoe UI"/>
            <w:shd w:val="clear" w:color="auto" w:fill="FFFFFF"/>
          </w:rPr>
          <w:t>Pattern Recognition and Machine Learning, Christopher Bishop, 2006</w:t>
        </w:r>
      </w:hyperlink>
    </w:p>
    <w:p w14:paraId="3FBC8044" w14:textId="2945AC14" w:rsidR="008D60F1" w:rsidRDefault="00EB3710">
      <w:hyperlink r:id="rId8" w:history="1">
        <w:r w:rsidR="008D60F1" w:rsidRPr="00EB3710">
          <w:rPr>
            <w:rStyle w:val="Hyperlink"/>
          </w:rPr>
          <w:t xml:space="preserve">Pattern Classification, </w:t>
        </w:r>
        <w:r w:rsidR="00F57FB2" w:rsidRPr="00EB3710">
          <w:rPr>
            <w:rStyle w:val="Hyperlink"/>
          </w:rPr>
          <w:t xml:space="preserve">Richard O. </w:t>
        </w:r>
        <w:proofErr w:type="spellStart"/>
        <w:r w:rsidR="00F57FB2" w:rsidRPr="00EB3710">
          <w:rPr>
            <w:rStyle w:val="Hyperlink"/>
          </w:rPr>
          <w:t>Duda</w:t>
        </w:r>
        <w:proofErr w:type="spellEnd"/>
        <w:r w:rsidR="00F57FB2" w:rsidRPr="00EB3710">
          <w:rPr>
            <w:rStyle w:val="Hyperlink"/>
          </w:rPr>
          <w:t>, Peter E. Hart, David G. Stork, Second Edition, 2</w:t>
        </w:r>
        <w:r w:rsidR="00F57FB2" w:rsidRPr="00EB3710">
          <w:rPr>
            <w:rStyle w:val="Hyperlink"/>
            <w:vertAlign w:val="superscript"/>
          </w:rPr>
          <w:t>nd</w:t>
        </w:r>
        <w:r w:rsidR="00F57FB2" w:rsidRPr="00EB3710">
          <w:rPr>
            <w:rStyle w:val="Hyperlink"/>
          </w:rPr>
          <w:t xml:space="preserve"> Edition, 2001</w:t>
        </w:r>
      </w:hyperlink>
    </w:p>
    <w:p w14:paraId="5837E09E" w14:textId="77777777" w:rsidR="00F57FB2" w:rsidRDefault="00F57FB2"/>
    <w:sectPr w:rsidR="00F5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E2"/>
    <w:rsid w:val="000221E2"/>
    <w:rsid w:val="00042DC8"/>
    <w:rsid w:val="00336E6E"/>
    <w:rsid w:val="004E65DA"/>
    <w:rsid w:val="006D29A2"/>
    <w:rsid w:val="00812F75"/>
    <w:rsid w:val="00892FF8"/>
    <w:rsid w:val="008D60F1"/>
    <w:rsid w:val="00A10ECD"/>
    <w:rsid w:val="00EB3710"/>
    <w:rsid w:val="00EF1BA5"/>
    <w:rsid w:val="00F57FB2"/>
    <w:rsid w:val="00F77790"/>
    <w:rsid w:val="00F83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5B27"/>
  <w15:chartTrackingRefBased/>
  <w15:docId w15:val="{908799D0-D7C9-2B4F-9AE4-68F7560D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F1"/>
    <w:rPr>
      <w:rFonts w:ascii="Aptos Display" w:hAnsi="Aptos Display"/>
      <w:sz w:val="19"/>
    </w:rPr>
  </w:style>
  <w:style w:type="paragraph" w:styleId="Heading1">
    <w:name w:val="heading 1"/>
    <w:basedOn w:val="Normal"/>
    <w:next w:val="Normal"/>
    <w:link w:val="Heading1Char"/>
    <w:uiPriority w:val="9"/>
    <w:qFormat/>
    <w:rsid w:val="008D60F1"/>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8D60F1"/>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0F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D60F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8D60F1"/>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8D60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7FB2"/>
    <w:rPr>
      <w:color w:val="0000FF"/>
      <w:u w:val="single"/>
    </w:rPr>
  </w:style>
  <w:style w:type="character" w:styleId="PlaceholderText">
    <w:name w:val="Placeholder Text"/>
    <w:basedOn w:val="DefaultParagraphFont"/>
    <w:uiPriority w:val="99"/>
    <w:semiHidden/>
    <w:rsid w:val="00F57FB2"/>
    <w:rPr>
      <w:color w:val="808080"/>
    </w:rPr>
  </w:style>
  <w:style w:type="character" w:styleId="UnresolvedMention">
    <w:name w:val="Unresolved Mention"/>
    <w:basedOn w:val="DefaultParagraphFont"/>
    <w:uiPriority w:val="99"/>
    <w:semiHidden/>
    <w:unhideWhenUsed/>
    <w:rsid w:val="00EB3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books/Richard_Duda_Peter_Hart_David_Stork-Pattern_classification_2001.pdf" TargetMode="External"/><Relationship Id="rId3" Type="http://schemas.openxmlformats.org/officeDocument/2006/relationships/webSettings" Target="webSettings.xml"/><Relationship Id="rId7" Type="http://schemas.openxmlformats.org/officeDocument/2006/relationships/hyperlink" Target="https://github.com/dimitarpg13/image_processing/blob/main/literature/books/Bishop-Pattern_Recognition_and_Machine_Learnin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mage_processing/blob/main/literature/books/Statistical_Pattern_Recognition_Webb_Copsey_3rdEd.pdf"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2024-11-23T04:55:00Z</dcterms:created>
  <dcterms:modified xsi:type="dcterms:W3CDTF">2024-11-25T04:57:00Z</dcterms:modified>
</cp:coreProperties>
</file>