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w:t>
      </w:r>
      <w:r w:rsidR="00694B40">
        <w:rPr>
          <w:rFonts w:eastAsiaTheme="minorEastAsia"/>
          <w:sz w:val="20"/>
          <w:szCs w:val="20"/>
        </w:rPr>
        <w:t xml:space="preserve">                              </w:t>
      </w:r>
      <w:r>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28788F"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C905F3"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m:t>
        </m:r>
        <m:r>
          <w:rPr>
            <w:rFonts w:ascii="Cambria Math" w:eastAsiaTheme="minorEastAsia" w:hAnsi="Cambria Math"/>
            <w:sz w:val="20"/>
            <w:szCs w:val="20"/>
          </w:rPr>
          <m:t>∆t</m:t>
        </m:r>
        <m:r>
          <w:rPr>
            <w:rFonts w:ascii="Cambria Math" w:eastAsiaTheme="minorEastAsia" w:hAnsi="Cambria Math"/>
            <w:sz w:val="20"/>
            <w:szCs w:val="20"/>
          </w:rPr>
          <m:t>,2</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3846A6"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114E15"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D9079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EA5D13"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1C788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F1200A"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r>
          <w:rPr>
            <w:rFonts w:ascii="Cambria Math" w:eastAsiaTheme="minorEastAsia" w:hAnsi="Cambria Math"/>
            <w:sz w:val="20"/>
            <w:szCs w:val="20"/>
          </w:rPr>
          <m:t>+</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m:t>
        </m:r>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000F9CDC"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p>
    <w:p w14:paraId="76C4CA2D" w14:textId="5028B686"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P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40F2AA" w14:textId="77777777" w:rsidR="0028788F" w:rsidRDefault="0028788F"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z</m:t>
        </m:r>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z</m:t>
        </m:r>
        <m:r>
          <w:rPr>
            <w:rFonts w:ascii="Cambria Math" w:eastAsiaTheme="minorEastAsia" w:hAnsi="Cambria Math"/>
            <w:sz w:val="20"/>
            <w:szCs w:val="20"/>
          </w:rPr>
          <m:t xml:space="preserve">|μ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m:t>
        </m:r>
        <m:r>
          <w:rPr>
            <w:rFonts w:ascii="Cambria Math" w:eastAsiaTheme="minorEastAsia" w:hAnsi="Cambria Math"/>
            <w:sz w:val="20"/>
            <w:szCs w:val="20"/>
          </w:rPr>
          <m:t>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lastRenderedPageBreak/>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A26E5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B2243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for </w:t>
      </w:r>
      <m:oMath>
        <m:r>
          <w:rPr>
            <w:rFonts w:ascii="Cambria Math" w:eastAsiaTheme="minorEastAsia" w:hAnsi="Cambria Math"/>
            <w:sz w:val="20"/>
            <w:szCs w:val="20"/>
          </w:rPr>
          <m:t>i=1,2,…,N</m:t>
        </m:r>
      </m:oMath>
      <w:r>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’s</w:t>
      </w:r>
      <w:r w:rsidR="00DC73F3">
        <w:rPr>
          <w:rFonts w:eastAsiaTheme="minorEastAsia"/>
          <w:sz w:val="20"/>
          <w:szCs w:val="20"/>
        </w:rPr>
        <w:t xml:space="preserve">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w:t>
      </w:r>
      <w:r w:rsidR="00091DF9">
        <w:rPr>
          <w:rFonts w:eastAsiaTheme="minorEastAsia"/>
          <w:sz w:val="20"/>
          <w:szCs w:val="20"/>
        </w:rPr>
        <w:t xml:space="preserve">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’s</w:t>
      </w:r>
      <w:r w:rsidR="00091DF9">
        <w:rPr>
          <w:rFonts w:eastAsiaTheme="minorEastAsia"/>
          <w:sz w:val="20"/>
          <w:szCs w:val="20"/>
        </w:rPr>
        <w:t xml:space="preserve">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4E8DB535" w:rsidR="00296FA2" w:rsidRDefault="00296FA2" w:rsidP="00AD4C5A">
      <w:pPr>
        <w:rPr>
          <w:sz w:val="20"/>
          <w:szCs w:val="20"/>
        </w:rPr>
      </w:pPr>
      <w:r>
        <w:rPr>
          <w:sz w:val="20"/>
          <w:szCs w:val="20"/>
        </w:rPr>
        <w:t>Robbins ([15]) presents Tweedie’s formula as an exponential family generalization of (A2.1)</w:t>
      </w:r>
    </w:p>
    <w:p w14:paraId="5D9332AD" w14:textId="77777777" w:rsidR="00296FA2" w:rsidRDefault="00296FA2" w:rsidP="00AD4C5A">
      <w:pPr>
        <w:rPr>
          <w:sz w:val="20"/>
          <w:szCs w:val="20"/>
        </w:rPr>
      </w:pPr>
    </w:p>
    <w:p w14:paraId="2D39F4CF" w14:textId="1474A06C" w:rsidR="00296FA2" w:rsidRDefault="00D514C1" w:rsidP="00AD4C5A">
      <w:pPr>
        <w:rPr>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w:t>
      </w:r>
      <w:r>
        <w:rPr>
          <w:sz w:val="20"/>
          <w:szCs w:val="20"/>
        </w:rPr>
        <w:t>1</w:t>
      </w:r>
      <w:r>
        <w:rPr>
          <w:sz w:val="20"/>
          <w:szCs w:val="20"/>
        </w:rPr>
        <w:t xml:space="preserve">] </w:t>
      </w:r>
      <w:hyperlink r:id="rId7"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8"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9"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0"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1"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2"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3"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4"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5"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w:t>
      </w:r>
      <w:r>
        <w:rPr>
          <w:sz w:val="20"/>
          <w:szCs w:val="20"/>
        </w:rPr>
        <w:t xml:space="preserve"> </w:t>
      </w:r>
      <w:hyperlink r:id="rId16"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w:t>
      </w:r>
      <w:r>
        <w:rPr>
          <w:sz w:val="20"/>
          <w:szCs w:val="20"/>
        </w:rPr>
        <w:t xml:space="preserve"> </w:t>
      </w:r>
      <w:hyperlink r:id="rId17"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18"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[13]</w:t>
      </w:r>
      <w:r>
        <w:rPr>
          <w:sz w:val="20"/>
          <w:szCs w:val="20"/>
        </w:rPr>
        <w:t xml:space="preserve"> </w:t>
      </w:r>
      <w:hyperlink r:id="rId19"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w:t>
      </w:r>
      <w:r>
        <w:rPr>
          <w:sz w:val="20"/>
          <w:szCs w:val="20"/>
        </w:rPr>
        <w:t xml:space="preserve"> </w:t>
      </w:r>
      <w:hyperlink r:id="rId20" w:history="1">
        <w:r w:rsidRPr="001568C9">
          <w:rPr>
            <w:rFonts w:ascii="Segoe UI" w:hAnsi="Segoe UI" w:cs="Segoe UI"/>
            <w:color w:val="0000FF"/>
            <w:sz w:val="18"/>
            <w:szCs w:val="18"/>
            <w:u w:val="single"/>
            <w:shd w:val="clear" w:color="auto" w:fill="FFFFFF"/>
          </w:rPr>
          <w:t xml:space="preserve">Tweedie's Formula and Selection Bias, Vradley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Pr="00B70F43" w:rsidRDefault="001568C9" w:rsidP="00AD4C5A">
      <w:pPr>
        <w:rPr>
          <w:sz w:val="18"/>
          <w:szCs w:val="18"/>
        </w:rPr>
      </w:pPr>
      <w:r>
        <w:rPr>
          <w:sz w:val="20"/>
          <w:szCs w:val="20"/>
        </w:rPr>
        <w:t>[</w:t>
      </w:r>
      <w:r w:rsidR="00501045">
        <w:rPr>
          <w:sz w:val="20"/>
          <w:szCs w:val="20"/>
        </w:rPr>
        <w:t>1</w:t>
      </w:r>
      <w:r w:rsidR="009F75B1">
        <w:rPr>
          <w:sz w:val="20"/>
          <w:szCs w:val="20"/>
        </w:rPr>
        <w:t>5</w:t>
      </w:r>
      <w:r>
        <w:rPr>
          <w:sz w:val="20"/>
          <w:szCs w:val="20"/>
        </w:rPr>
        <w:t>]</w:t>
      </w:r>
      <w:r>
        <w:rPr>
          <w:sz w:val="20"/>
          <w:szCs w:val="20"/>
        </w:rPr>
        <w:t xml:space="preserve"> </w:t>
      </w:r>
      <w:hyperlink r:id="rId21" w:history="1">
        <w:r w:rsidRPr="001568C9">
          <w:rPr>
            <w:rFonts w:ascii="Segoe UI" w:hAnsi="Segoe UI" w:cs="Segoe UI"/>
            <w:color w:val="0000FF"/>
            <w:sz w:val="18"/>
            <w:szCs w:val="18"/>
            <w:u w:val="single"/>
            <w:shd w:val="clear" w:color="auto" w:fill="FFFFFF"/>
          </w:rPr>
          <w:t>Empirical Bayes Approach to Statistics, Herbert Robbins, Columbia U., 1956</w:t>
        </w:r>
      </w:hyperlink>
    </w:p>
    <w:sectPr w:rsidR="001568C9"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91DF9"/>
    <w:rsid w:val="000943E8"/>
    <w:rsid w:val="000A10F9"/>
    <w:rsid w:val="000B2426"/>
    <w:rsid w:val="000D01B9"/>
    <w:rsid w:val="0010126C"/>
    <w:rsid w:val="00114E15"/>
    <w:rsid w:val="00143A20"/>
    <w:rsid w:val="00147668"/>
    <w:rsid w:val="001568C9"/>
    <w:rsid w:val="0016160B"/>
    <w:rsid w:val="00166F38"/>
    <w:rsid w:val="00173FA0"/>
    <w:rsid w:val="001A1B0F"/>
    <w:rsid w:val="001C6484"/>
    <w:rsid w:val="001C788C"/>
    <w:rsid w:val="00230FA2"/>
    <w:rsid w:val="00251368"/>
    <w:rsid w:val="00261A53"/>
    <w:rsid w:val="00277139"/>
    <w:rsid w:val="0028788F"/>
    <w:rsid w:val="00296FA2"/>
    <w:rsid w:val="0030124A"/>
    <w:rsid w:val="00337910"/>
    <w:rsid w:val="0035603D"/>
    <w:rsid w:val="00363C61"/>
    <w:rsid w:val="00371A76"/>
    <w:rsid w:val="003846A6"/>
    <w:rsid w:val="003B4568"/>
    <w:rsid w:val="003D4419"/>
    <w:rsid w:val="004713FD"/>
    <w:rsid w:val="004A3D8B"/>
    <w:rsid w:val="004C7D40"/>
    <w:rsid w:val="004F1540"/>
    <w:rsid w:val="00501045"/>
    <w:rsid w:val="00543EE9"/>
    <w:rsid w:val="005719B6"/>
    <w:rsid w:val="005871BE"/>
    <w:rsid w:val="005971F8"/>
    <w:rsid w:val="0061320D"/>
    <w:rsid w:val="006250BE"/>
    <w:rsid w:val="00645DF7"/>
    <w:rsid w:val="00671137"/>
    <w:rsid w:val="006838EC"/>
    <w:rsid w:val="00694B40"/>
    <w:rsid w:val="006963E2"/>
    <w:rsid w:val="006A11D6"/>
    <w:rsid w:val="006B02EA"/>
    <w:rsid w:val="006D2EF1"/>
    <w:rsid w:val="006D3474"/>
    <w:rsid w:val="00721254"/>
    <w:rsid w:val="00726032"/>
    <w:rsid w:val="00755C69"/>
    <w:rsid w:val="00762166"/>
    <w:rsid w:val="00777D6C"/>
    <w:rsid w:val="007A0B5A"/>
    <w:rsid w:val="007A282F"/>
    <w:rsid w:val="007C700E"/>
    <w:rsid w:val="00814BF6"/>
    <w:rsid w:val="00881877"/>
    <w:rsid w:val="0088350B"/>
    <w:rsid w:val="008901D9"/>
    <w:rsid w:val="008F7E9C"/>
    <w:rsid w:val="0090200F"/>
    <w:rsid w:val="00903437"/>
    <w:rsid w:val="0094682C"/>
    <w:rsid w:val="00992225"/>
    <w:rsid w:val="009D0BFC"/>
    <w:rsid w:val="009F39CB"/>
    <w:rsid w:val="009F75B1"/>
    <w:rsid w:val="00A261B7"/>
    <w:rsid w:val="00A26E5C"/>
    <w:rsid w:val="00A42F15"/>
    <w:rsid w:val="00A476B4"/>
    <w:rsid w:val="00A5130E"/>
    <w:rsid w:val="00A97DBC"/>
    <w:rsid w:val="00AD4C5A"/>
    <w:rsid w:val="00AF0CBE"/>
    <w:rsid w:val="00B22438"/>
    <w:rsid w:val="00B57FFB"/>
    <w:rsid w:val="00B6753B"/>
    <w:rsid w:val="00B70F43"/>
    <w:rsid w:val="00B94E48"/>
    <w:rsid w:val="00BA63C7"/>
    <w:rsid w:val="00BA7847"/>
    <w:rsid w:val="00BC1833"/>
    <w:rsid w:val="00BC4A5B"/>
    <w:rsid w:val="00BF1E20"/>
    <w:rsid w:val="00C778E9"/>
    <w:rsid w:val="00C905F3"/>
    <w:rsid w:val="00CE5923"/>
    <w:rsid w:val="00CF6C26"/>
    <w:rsid w:val="00D11199"/>
    <w:rsid w:val="00D35558"/>
    <w:rsid w:val="00D37C63"/>
    <w:rsid w:val="00D514C1"/>
    <w:rsid w:val="00D52288"/>
    <w:rsid w:val="00D90798"/>
    <w:rsid w:val="00DB3103"/>
    <w:rsid w:val="00DC73F3"/>
    <w:rsid w:val="00DE039B"/>
    <w:rsid w:val="00DE1C1D"/>
    <w:rsid w:val="00DE390E"/>
    <w:rsid w:val="00E05AA0"/>
    <w:rsid w:val="00E246F9"/>
    <w:rsid w:val="00E7676F"/>
    <w:rsid w:val="00EA5D13"/>
    <w:rsid w:val="00EF1C57"/>
    <w:rsid w:val="00EF3478"/>
    <w:rsid w:val="00F1200A"/>
    <w:rsid w:val="00F1583E"/>
    <w:rsid w:val="00F5188A"/>
    <w:rsid w:val="00F525D2"/>
    <w:rsid w:val="00F923E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for_image_processing/blob/main/literature/articles/generative_models/StepByStepDiffusionAnElementaryTutorial_Nakkiran_2024.pdf" TargetMode="External"/><Relationship Id="rId13" Type="http://schemas.openxmlformats.org/officeDocument/2006/relationships/hyperlink" Target="https://www.assemblyai.com/blog/diffusion-models-for-machine-learning-introduction/" TargetMode="External"/><Relationship Id="rId18" Type="http://schemas.openxmlformats.org/officeDocument/2006/relationships/hyperlink" Target="https://github.com/dimitarpg13/deep_learning_for_image_processing/blob/main/literature/articles/generative_models/Lightweight_Diffusion_Models_A_Survey_Song_2024.pdf" TargetMode="External"/><Relationship Id="rId3" Type="http://schemas.openxmlformats.org/officeDocument/2006/relationships/settings" Target="settings.xml"/><Relationship Id="rId21" Type="http://schemas.openxmlformats.org/officeDocument/2006/relationships/hyperlink" Target="https://github.com/dimitarpg13/probabilistic_machine_learning/blob/main/applied_statistics/articles/Empirical_Bayes_Approach_to_Statistics_Robbins_Columbia_1956.pdf" TargetMode="External"/><Relationship Id="rId7"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2" Type="http://schemas.openxmlformats.org/officeDocument/2006/relationships/hyperlink" Target="https://sander.ai/2023/07/20/perspectives.html" TargetMode="External"/><Relationship Id="rId17" Type="http://schemas.openxmlformats.org/officeDocument/2006/relationships/hyperlink" Target="https://github.com/dimitarpg13/deep_learning_for_image_processing/blob/main/literature/articles/generative_models/Demystifying_Variational_Diffusion_Models_Ribeiro_2024.pdf"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0" Type="http://schemas.openxmlformats.org/officeDocument/2006/relationships/hyperlink" Target="https://github.com/dimitarpg13/probabilistic_machine_learning/blob/main/applied_statistics/articles/Tweedies_Formula_and_Selection_Bias_Effron_Stanford_2011.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clr-blogposts.github.io/2024/blog/diffusion-theory-from-scratch/" TargetMode="External"/><Relationship Id="rId5" Type="http://schemas.openxmlformats.org/officeDocument/2006/relationships/image" Target="media/image1.png"/><Relationship Id="rId15"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3" Type="http://schemas.openxmlformats.org/officeDocument/2006/relationships/theme" Target="theme/theme1.xml"/><Relationship Id="rId10" Type="http://schemas.openxmlformats.org/officeDocument/2006/relationships/hyperlink" Target="https://mlg.eng.cam.ac.uk/blog/2024/01/20/flow-matching.html" TargetMode="External"/><Relationship Id="rId19" Type="http://schemas.openxmlformats.org/officeDocument/2006/relationships/hyperlink" Target="https://en.wikipedia.org/wiki/Informant_(statistics)"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14"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6</Pages>
  <Words>2705</Words>
  <Characters>14528</Characters>
  <Application>Microsoft Office Word</Application>
  <DocSecurity>0</DocSecurity>
  <Lines>315</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55</cp:revision>
  <dcterms:created xsi:type="dcterms:W3CDTF">2024-06-20T17:39:00Z</dcterms:created>
  <dcterms:modified xsi:type="dcterms:W3CDTF">2024-07-06T03:29:00Z</dcterms:modified>
</cp:coreProperties>
</file>