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6241F263"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CD0309">
        <w:rPr>
          <w:i/>
          <w:iCs/>
        </w:rPr>
        <w:t>total configurational entropy of the composite system</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CD0309">
        <w:rPr>
          <w:i/>
          <w:iCs/>
        </w:rPr>
        <w:t xml:space="preserve">configurational entropies of subsystems </w:t>
      </w:r>
      <m:oMath>
        <m:r>
          <w:rPr>
            <w:rFonts w:ascii="Cambria Math" w:hAnsi="Cambria Math"/>
          </w:rPr>
          <m:t>A</m:t>
        </m:r>
      </m:oMath>
      <w:r w:rsidRPr="00CD0309">
        <w:rPr>
          <w:i/>
          <w:iCs/>
        </w:rPr>
        <w:t xml:space="preserve"> and </w:t>
      </w:r>
      <m:oMath>
        <m: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01386071"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 and is maximized at equilibrium. </w:t>
      </w:r>
    </w:p>
    <w:p w14:paraId="19C876CC" w14:textId="77777777" w:rsidR="007B17DF" w:rsidRDefault="007B17DF"/>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lastRenderedPageBreak/>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242F"/>
    <w:rsid w:val="002F6D97"/>
    <w:rsid w:val="00325844"/>
    <w:rsid w:val="003521A8"/>
    <w:rsid w:val="003C46B6"/>
    <w:rsid w:val="003D542F"/>
    <w:rsid w:val="00406513"/>
    <w:rsid w:val="004878BA"/>
    <w:rsid w:val="00495F8C"/>
    <w:rsid w:val="004B4FAC"/>
    <w:rsid w:val="004E2285"/>
    <w:rsid w:val="005204A0"/>
    <w:rsid w:val="00543F34"/>
    <w:rsid w:val="00563744"/>
    <w:rsid w:val="005818A2"/>
    <w:rsid w:val="005A0A67"/>
    <w:rsid w:val="005E1C49"/>
    <w:rsid w:val="00634220"/>
    <w:rsid w:val="0063437A"/>
    <w:rsid w:val="00696560"/>
    <w:rsid w:val="006A5DBD"/>
    <w:rsid w:val="00705F0A"/>
    <w:rsid w:val="00726331"/>
    <w:rsid w:val="00756E6C"/>
    <w:rsid w:val="007969D3"/>
    <w:rsid w:val="007A5D20"/>
    <w:rsid w:val="007B17DF"/>
    <w:rsid w:val="007E69D9"/>
    <w:rsid w:val="00810151"/>
    <w:rsid w:val="0084436F"/>
    <w:rsid w:val="0087490E"/>
    <w:rsid w:val="00890DD8"/>
    <w:rsid w:val="0089536E"/>
    <w:rsid w:val="008A1D74"/>
    <w:rsid w:val="008B0DE7"/>
    <w:rsid w:val="008D172E"/>
    <w:rsid w:val="008D1A00"/>
    <w:rsid w:val="008D217E"/>
    <w:rsid w:val="008E4D8B"/>
    <w:rsid w:val="008F419F"/>
    <w:rsid w:val="00927AFC"/>
    <w:rsid w:val="00951B77"/>
    <w:rsid w:val="00956B67"/>
    <w:rsid w:val="00957E2E"/>
    <w:rsid w:val="00976DAA"/>
    <w:rsid w:val="009F5CA1"/>
    <w:rsid w:val="00A04FC6"/>
    <w:rsid w:val="00A13F1D"/>
    <w:rsid w:val="00A5435F"/>
    <w:rsid w:val="00AC2C43"/>
    <w:rsid w:val="00B95B51"/>
    <w:rsid w:val="00BB119A"/>
    <w:rsid w:val="00C00BAC"/>
    <w:rsid w:val="00C1402E"/>
    <w:rsid w:val="00C84673"/>
    <w:rsid w:val="00CB130F"/>
    <w:rsid w:val="00CB6F78"/>
    <w:rsid w:val="00CB798B"/>
    <w:rsid w:val="00CD0309"/>
    <w:rsid w:val="00CD7B1B"/>
    <w:rsid w:val="00CF5F51"/>
    <w:rsid w:val="00D3340A"/>
    <w:rsid w:val="00D46874"/>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2514</Words>
  <Characters>14334</Characters>
  <Application>Microsoft Office Word</Application>
  <DocSecurity>0</DocSecurity>
  <Lines>119</Lines>
  <Paragraphs>33</Paragraphs>
  <ScaleCrop>false</ScaleCrop>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104</cp:revision>
  <dcterms:created xsi:type="dcterms:W3CDTF">2025-01-07T19:57:00Z</dcterms:created>
  <dcterms:modified xsi:type="dcterms:W3CDTF">2025-01-12T03:05:00Z</dcterms:modified>
</cp:coreProperties>
</file>