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41A72E64" w:rsidR="006343D7" w:rsidRPr="007F0CAE" w:rsidRDefault="007F0CAE">
      <w:pPr>
        <w:rPr>
          <w:color w:val="FF0000"/>
          <w:sz w:val="20"/>
          <w:szCs w:val="20"/>
        </w:rPr>
      </w:pPr>
      <w:r w:rsidRPr="007F0CAE">
        <w:rPr>
          <w:color w:val="FF0000"/>
          <w:sz w:val="20"/>
          <w:szCs w:val="20"/>
        </w:rPr>
        <w:t>//TODO: finish this section</w:t>
      </w: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13C4A341" w14:textId="77777777" w:rsidR="00F7200B" w:rsidRDefault="00F7200B">
      <w:pPr>
        <w:rPr>
          <w:sz w:val="20"/>
          <w:szCs w:val="20"/>
        </w:rPr>
      </w:pPr>
    </w:p>
    <w:p w14:paraId="172DFB38" w14:textId="0DED57DE" w:rsidR="00F7200B" w:rsidRDefault="00F7200B" w:rsidP="00F7200B">
      <w:pPr>
        <w:pStyle w:val="Heading3"/>
      </w:pPr>
      <w:r>
        <w:lastRenderedPageBreak/>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lastRenderedPageBreak/>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0FB16D0B" w14:textId="77777777"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p>
    <w:p w14:paraId="332D7F50" w14:textId="77777777" w:rsidR="006A2CD4" w:rsidRDefault="006A2CD4">
      <w:pPr>
        <w:rPr>
          <w:sz w:val="20"/>
          <w:szCs w:val="20"/>
        </w:rPr>
      </w:pPr>
    </w:p>
    <w:p w14:paraId="5F387ECD" w14:textId="79C41306"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m:t>
        </m:r>
        <m:r>
          <m:rPr>
            <m:scr m:val="script"/>
          </m:rPr>
          <w:rPr>
            <w:rFonts w:ascii="Cambria Math" w:hAnsi="Cambria Math"/>
            <w:sz w:val="20"/>
            <w:szCs w:val="20"/>
          </w:rPr>
          <m:t>X</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w:rPr>
            <w:rFonts w:ascii="Cambria Math" w:hAnsi="Cambria Math"/>
            <w:sz w:val="20"/>
            <w:szCs w:val="20"/>
          </w:rPr>
          <m:t>x</m:t>
        </m:r>
      </m:oMath>
      <w:r>
        <w:rPr>
          <w:sz w:val="20"/>
          <w:szCs w:val="20"/>
        </w:rPr>
        <w:t xml:space="preserve">. </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44E6A9B2"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5378C064" w:rsidR="006A2CD4" w:rsidRPr="006A2CD4" w:rsidRDefault="006A2CD4">
      <w:pPr>
        <w:rPr>
          <w:sz w:val="20"/>
          <w:szCs w:val="20"/>
        </w:rPr>
      </w:pPr>
      <w:r>
        <w:rPr>
          <w:sz w:val="20"/>
          <w:szCs w:val="20"/>
        </w:rPr>
        <w:t xml:space="preserve">The optimal autoencoder </w:t>
      </w:r>
    </w:p>
    <w:p w14:paraId="5F998256" w14:textId="77777777" w:rsidR="00DD74EE" w:rsidRDefault="00DD74EE">
      <w:pPr>
        <w:rPr>
          <w:sz w:val="20"/>
          <w:szCs w:val="20"/>
        </w:rPr>
      </w:pPr>
    </w:p>
    <w:p w14:paraId="236B39D4" w14:textId="77777777" w:rsidR="00020F63" w:rsidRDefault="00020F63">
      <w:pPr>
        <w:rPr>
          <w:sz w:val="20"/>
          <w:szCs w:val="20"/>
        </w:rPr>
      </w:pPr>
    </w:p>
    <w:p w14:paraId="619BC534" w14:textId="77777777" w:rsidR="00020F63" w:rsidRDefault="00020F63">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lastRenderedPageBreak/>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4"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5"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7"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8"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46D0118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6</w:t>
      </w:r>
      <w:r>
        <w:rPr>
          <w:rFonts w:cstheme="minorHAnsi"/>
          <w:sz w:val="18"/>
          <w:szCs w:val="18"/>
        </w:rPr>
        <w:t xml:space="preserve">] </w:t>
      </w:r>
      <w:hyperlink r:id="rId9"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5579E472" w:rsidR="003E2E17" w:rsidRDefault="0020451E" w:rsidP="003E2E17">
      <w:pPr>
        <w:rPr>
          <w:rFonts w:cstheme="minorHAnsi"/>
          <w:sz w:val="18"/>
          <w:szCs w:val="18"/>
        </w:rPr>
      </w:pPr>
      <w:r>
        <w:rPr>
          <w:rFonts w:cstheme="minorHAnsi"/>
          <w:sz w:val="18"/>
          <w:szCs w:val="18"/>
        </w:rPr>
        <w:t>[</w:t>
      </w:r>
      <w:r w:rsidR="0018588A">
        <w:rPr>
          <w:rFonts w:cstheme="minorHAnsi"/>
          <w:sz w:val="18"/>
          <w:szCs w:val="18"/>
        </w:rPr>
        <w:t>7</w:t>
      </w:r>
      <w:r>
        <w:rPr>
          <w:rFonts w:cstheme="minorHAnsi"/>
          <w:sz w:val="18"/>
          <w:szCs w:val="18"/>
        </w:rPr>
        <w:t xml:space="preserve">] </w:t>
      </w:r>
      <w:hyperlink r:id="rId10"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1FDF5F1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8</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42DC8"/>
    <w:rsid w:val="000D36D5"/>
    <w:rsid w:val="000E0427"/>
    <w:rsid w:val="0018588A"/>
    <w:rsid w:val="0020451E"/>
    <w:rsid w:val="0020579D"/>
    <w:rsid w:val="00294736"/>
    <w:rsid w:val="00312581"/>
    <w:rsid w:val="003B3D3F"/>
    <w:rsid w:val="003E2E17"/>
    <w:rsid w:val="00437BB8"/>
    <w:rsid w:val="00444295"/>
    <w:rsid w:val="00543740"/>
    <w:rsid w:val="00581A13"/>
    <w:rsid w:val="006343D7"/>
    <w:rsid w:val="00637D91"/>
    <w:rsid w:val="00660482"/>
    <w:rsid w:val="00696CD6"/>
    <w:rsid w:val="006A2CD4"/>
    <w:rsid w:val="006E691E"/>
    <w:rsid w:val="006E76BE"/>
    <w:rsid w:val="00720C63"/>
    <w:rsid w:val="00723339"/>
    <w:rsid w:val="00763FBE"/>
    <w:rsid w:val="00775C24"/>
    <w:rsid w:val="00785786"/>
    <w:rsid w:val="007F0CAE"/>
    <w:rsid w:val="008424ED"/>
    <w:rsid w:val="00897A48"/>
    <w:rsid w:val="008D5019"/>
    <w:rsid w:val="00920562"/>
    <w:rsid w:val="009506CC"/>
    <w:rsid w:val="00965231"/>
    <w:rsid w:val="009767DB"/>
    <w:rsid w:val="00982F59"/>
    <w:rsid w:val="00A46D0A"/>
    <w:rsid w:val="00A6599F"/>
    <w:rsid w:val="00B13A81"/>
    <w:rsid w:val="00B760B4"/>
    <w:rsid w:val="00B920D0"/>
    <w:rsid w:val="00BA34FB"/>
    <w:rsid w:val="00BB10B9"/>
    <w:rsid w:val="00C543B9"/>
    <w:rsid w:val="00C5597C"/>
    <w:rsid w:val="00CB7744"/>
    <w:rsid w:val="00CF1C78"/>
    <w:rsid w:val="00D04814"/>
    <w:rsid w:val="00D50A79"/>
    <w:rsid w:val="00DD74EE"/>
    <w:rsid w:val="00DE0B4A"/>
    <w:rsid w:val="00E209DB"/>
    <w:rsid w:val="00E5417A"/>
    <w:rsid w:val="00E64D7C"/>
    <w:rsid w:val="00EF0F9C"/>
    <w:rsid w:val="00F0794B"/>
    <w:rsid w:val="00F7200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_Unsupervised_Learning_and_Deep_Architectures_Baldi_2012a.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pdf" TargetMode="External"/><Relationship Id="rId11"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deep_learning_and_neural_networks/blob/main/literature/articles/TransformingAutoencodersHinton.pdf" TargetMode="External"/><Relationship Id="rId10"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9"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2185</Words>
  <Characters>12459</Characters>
  <Application>Microsoft Office Word</Application>
  <DocSecurity>0</DocSecurity>
  <Lines>103</Lines>
  <Paragraphs>29</Paragraphs>
  <ScaleCrop>false</ScaleCrop>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62</cp:revision>
  <dcterms:created xsi:type="dcterms:W3CDTF">2024-04-05T05:24:00Z</dcterms:created>
  <dcterms:modified xsi:type="dcterms:W3CDTF">2024-04-28T19:20:00Z</dcterms:modified>
</cp:coreProperties>
</file>