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832BD1"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for   </w:t>
      </w:r>
      <m:oMath>
        <m:r>
          <w:rPr>
            <w:rFonts w:ascii="Cambria Math" w:eastAsiaTheme="minorEastAsia" w:hAnsi="Cambria Math"/>
          </w:rPr>
          <m:t xml:space="preserve">1 </m:t>
        </m:r>
        <m:r>
          <w:rPr>
            <w:rFonts w:ascii="Cambria Math" w:eastAsiaTheme="minorEastAsia" w:hAnsi="Cambria Math"/>
          </w:rPr>
          <m:t>≤i≤</m:t>
        </m:r>
        <m:r>
          <w:rPr>
            <w:rFonts w:ascii="Cambria Math" w:eastAsiaTheme="minorEastAsia" w:hAnsi="Cambria Math"/>
          </w:rPr>
          <m:t xml:space="preserve">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r>
          <w:rPr>
            <w:rFonts w:ascii="Cambria Math" w:eastAsiaTheme="minorEastAsia" w:hAnsi="Cambria Math" w:cstheme="minorHAnsi"/>
          </w:rPr>
          <m:t>)</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Let</w:t>
      </w:r>
      <w:r>
        <w:t xml:space="preserv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w:rPr>
            <w:rFonts w:ascii="Cambria Math" w:hAnsi="Cambria Math"/>
          </w:rPr>
          <m:t>⊆</m:t>
        </m:r>
        <m:r>
          <m:rPr>
            <m:sty m:val="p"/>
          </m:rPr>
          <w:rPr>
            <w:rFonts w:ascii="Cambria Math" w:hAnsi="Cambria Math"/>
          </w:rPr>
          <m:t>Ω</m:t>
        </m:r>
      </m:oMath>
      <w:r w:rsidR="006279D3" w:rsidRPr="006279D3">
        <w:t xml:space="preserve"> </w:t>
      </w:r>
      <w:r>
        <w:t xml:space="preserve">such that </w:t>
      </w:r>
      <m:oMath>
        <m:r>
          <w:rPr>
            <w:rFonts w:ascii="Cambria Math" w:hAnsi="Cambria Math"/>
          </w:rPr>
          <m:t>E</m:t>
        </m:r>
        <m:r>
          <w:rPr>
            <w:rFonts w:ascii="Cambria Math" w:hAnsi="Cambria Math"/>
          </w:rPr>
          <m:t xml:space="preserve"> ∩</m:t>
        </m:r>
        <m:r>
          <w:rPr>
            <w:rFonts w:ascii="Cambria Math" w:hAnsi="Cambria Math"/>
          </w:rPr>
          <m:t xml:space="preserve"> F</m:t>
        </m:r>
        <m:r>
          <w:rPr>
            <w:rFonts w:ascii="Cambria Math" w:hAnsi="Cambria Math"/>
          </w:rPr>
          <m:t>=∅</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m:t>
        </m:r>
        <m:r>
          <w:rPr>
            <w:rFonts w:ascii="Cambria Math" w:hAnsi="Cambria Math"/>
          </w:rPr>
          <m:t>≠0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r>
                  <w:rPr>
                    <w:rFonts w:ascii="Cambria Math" w:eastAsiaTheme="minorEastAsia" w:hAnsi="Cambria Math"/>
                  </w:rPr>
                  <m:t xml:space="preserve"> ∩ </m:t>
                </m:r>
                <m:r>
                  <w:rPr>
                    <w:rFonts w:ascii="Cambria Math" w:eastAsiaTheme="minorEastAsia" w:hAnsi="Cambria Math"/>
                  </w:rPr>
                  <m:t>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hold:</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m:t>
        </m:r>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m:t>
        </m:r>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m:t>
        </m:r>
        <m:r>
          <w:rPr>
            <w:rFonts w:ascii="Cambria Math" w:hAnsi="Cambria Math"/>
          </w:rPr>
          <m:t>≠0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r>
              <w:rPr>
                <w:rFonts w:ascii="Cambria Math" w:hAnsi="Cambria Math"/>
              </w:rPr>
              <m:t>∩G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m:t>
        </m:r>
        <m:r>
          <w:rPr>
            <w:rFonts w:ascii="Cambria Math" w:hAnsi="Cambria Math"/>
          </w:rPr>
          <m:t>0</m:t>
        </m:r>
        <m:r>
          <w:rPr>
            <w:rFonts w:ascii="Cambria Math" w:hAnsi="Cambria Math"/>
          </w:rPr>
          <m:t xml:space="preserve"> </m:t>
        </m:r>
        <m:r>
          <m:rPr>
            <m:sty m:val="p"/>
          </m:rPr>
          <w:rPr>
            <w:rFonts w:ascii="Cambria Math" w:hAnsi="Cambria Math"/>
          </w:rPr>
          <m:t>or</m:t>
        </m:r>
        <m:r>
          <w:rPr>
            <w:rFonts w:ascii="Cambria Math" w:hAnsi="Cambria Math"/>
          </w:rPr>
          <m:t xml:space="preserve"> </m:t>
        </m:r>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m:t>
        </m:r>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w:t>
      </w:r>
      <w:proofErr w:type="spellStart"/>
      <w:r>
        <w:t>nite</w:t>
      </w:r>
      <w:proofErr w:type="spellEnd"/>
      <w:r>
        <w:t xml:space="preserv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 xml:space="preserve">0 </m:t>
        </m:r>
        <m:r>
          <w:rPr>
            <w:rFonts w:ascii="Cambria Math" w:eastAsiaTheme="minorEastAsia" w:hAnsi="Cambria Math"/>
          </w:rPr>
          <m:t>≤</m:t>
        </m:r>
        <m:r>
          <w:rPr>
            <w:rFonts w:ascii="Cambria Math" w:eastAsiaTheme="minorEastAsia" w:hAnsi="Cambria Math"/>
          </w:rPr>
          <m:t xml:space="preserve">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127664"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j</m:t>
        </m:r>
      </m:oMath>
      <w:r w:rsidR="009E3F2D">
        <w:rPr>
          <w:rFonts w:eastAsiaTheme="minorEastAsia"/>
        </w:rPr>
        <w:t xml:space="preserve"> and </w:t>
      </w:r>
    </w:p>
    <w:p w14:paraId="36450730" w14:textId="12FEC0BD" w:rsidR="009E3F2D" w:rsidRDefault="009E3F2D"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 xml:space="preserve">P(E)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and </w:t>
      </w:r>
      <m:oMath>
        <m:r>
          <w:rPr>
            <w:rFonts w:ascii="Cambria Math" w:eastAsiaTheme="minorEastAsia" w:hAnsi="Cambria Math"/>
          </w:rPr>
          <m:t xml:space="preserve">P(F) </m:t>
        </m:r>
        <m:r>
          <w:rPr>
            <w:rFonts w:ascii="Cambria Math" w:eastAsiaTheme="minorEastAsia" w:hAnsi="Cambria Math"/>
          </w:rPr>
          <m:t>≠</m:t>
        </m:r>
        <m:r>
          <w:rPr>
            <w:rFonts w:ascii="Cambria Math" w:eastAsiaTheme="minorEastAsia" w:hAnsi="Cambria Math"/>
          </w:rPr>
          <m:t xml:space="preserve">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i</m:t>
        </m:r>
        <m:r>
          <w:rPr>
            <w:rFonts w:ascii="Cambria Math" w:eastAsiaTheme="minorEastAsia" w:hAnsi="Cambria Math"/>
          </w:rPr>
          <m:t xml:space="preserve"> </m:t>
        </m:r>
        <m:r>
          <w:rPr>
            <w:rFonts w:ascii="Cambria Math" w:eastAsiaTheme="minorEastAsia" w:hAnsi="Cambria Math"/>
          </w:rPr>
          <m:t>≤</m:t>
        </m:r>
        <m:r>
          <w:rPr>
            <w:rFonts w:ascii="Cambria Math" w:eastAsiaTheme="minorEastAsia" w:hAnsi="Cambria Math"/>
          </w:rPr>
          <m:t xml:space="preserve">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w:t>
      </w:r>
      <w:r w:rsidR="002A3F1B">
        <w:rPr>
          <w:rFonts w:eastAsiaTheme="minorEastAsia"/>
        </w:rPr>
        <w:t>as follows:</w:t>
      </w:r>
    </w:p>
    <w:p w14:paraId="318F4AB7" w14:textId="00DC80B1" w:rsidR="002A3F1B" w:rsidRDefault="00AA1B3F"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X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w:rPr>
            <w:rFonts w:ascii="Cambria Math" w:hAnsi="Cambria Math"/>
          </w:rPr>
          <m:t>(</m:t>
        </m:r>
        <m:r>
          <m:rPr>
            <m:scr m:val="double-struck"/>
          </m:rPr>
          <w:rPr>
            <w:rFonts w:ascii="Cambria Math" w:hAnsi="Cambria Math"/>
          </w:rPr>
          <m:t>G</m:t>
        </m:r>
        <m:r>
          <w:rPr>
            <w:rFonts w:ascii="Cambria Math" w:hAnsi="Cambria Math"/>
          </w:rPr>
          <m:t>,</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w:t>
      </w:r>
      <w:proofErr w:type="spellStart"/>
      <w:r w:rsidR="00F822FA">
        <w:rPr>
          <w:rFonts w:eastAsiaTheme="minorEastAsia"/>
          <w:iCs/>
        </w:rPr>
        <w:t>atisfies</w:t>
      </w:r>
      <w:proofErr w:type="spellEnd"/>
      <w:r w:rsidR="00F822FA">
        <w:rPr>
          <w:rFonts w:eastAsiaTheme="minorEastAsia"/>
          <w:iCs/>
        </w:rPr>
        <w:t xml:space="preserve">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287C95"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w:t>
      </w:r>
      <w:proofErr w:type="spellStart"/>
      <w:r>
        <w:rPr>
          <w:rFonts w:eastAsiaTheme="minorEastAsia"/>
          <w:iCs/>
        </w:rPr>
        <w:t>atisfies</w:t>
      </w:r>
      <w:proofErr w:type="spellEnd"/>
      <w:r>
        <w:rPr>
          <w:rFonts w:eastAsiaTheme="minorEastAsia"/>
          <w:iCs/>
        </w:rPr>
        <w:t xml:space="preserve">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So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m:t>
        </m:r>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D1167C">
        <w:rPr>
          <w:rFonts w:eastAsiaTheme="minorEastAsia"/>
          <w:iCs/>
        </w:rPr>
        <w:t>So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D1167C"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w:rPr>
            <w:rFonts w:ascii="Cambria Math" w:hAnsi="Cambria Math"/>
          </w:rPr>
          <m:t>(</m:t>
        </m:r>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4E6637">
        <w:rPr>
          <w:rFonts w:eastAsiaTheme="minorEastAsia"/>
          <w:iCs/>
        </w:rPr>
        <w:t>…</w:t>
      </w:r>
      <w:r w:rsidR="004A4AAC">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 ,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m:t>
        </m:r>
        <m:r>
          <w:rPr>
            <w:rFonts w:ascii="Cambria Math" w:eastAsiaTheme="minorEastAsia" w:hAnsi="Cambria Math"/>
          </w:rPr>
          <m:t>≤i≤n</m:t>
        </m:r>
        <m:r>
          <w:rPr>
            <w:rFonts w:ascii="Cambria Math" w:eastAsiaTheme="minorEastAsia" w:hAnsi="Cambria Math"/>
          </w:rPr>
          <m:t>.</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m:t>
        </m:r>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 xml:space="preserve">1 </m:t>
        </m:r>
        <m:r>
          <w:rPr>
            <w:rFonts w:ascii="Cambria Math" w:eastAsiaTheme="minorEastAsia" w:hAnsi="Cambria Math"/>
          </w:rPr>
          <m:t>≤</m:t>
        </m:r>
        <m:r>
          <w:rPr>
            <w:rFonts w:ascii="Cambria Math" w:eastAsiaTheme="minorEastAsia" w:hAnsi="Cambria Math"/>
          </w:rPr>
          <m:t xml:space="preserve"> k </m:t>
        </m:r>
        <m:r>
          <w:rPr>
            <w:rFonts w:ascii="Cambria Math" w:eastAsiaTheme="minorEastAsia" w:hAnsi="Cambria Math"/>
          </w:rPr>
          <m:t>≤</m:t>
        </m:r>
        <m:r>
          <w:rPr>
            <w:rFonts w:ascii="Cambria Math" w:eastAsiaTheme="minorEastAsia" w:hAnsi="Cambria Math"/>
          </w:rPr>
          <m:t xml:space="preserve">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variable, and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w:rPr>
            <w:rFonts w:ascii="Cambria Math" w:hAnsi="Cambria Math"/>
          </w:rPr>
          <m:t>(</m:t>
        </m:r>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Therefore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C074C9"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1E2B43"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9D335A"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31DD513B" w14:textId="76F3F14D" w:rsidR="009D335A" w:rsidRDefault="007D67A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077D033F" w14:textId="72813255" w:rsidR="007D67A0" w:rsidRDefault="0024551B"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r>
                          <w:rPr>
                            <w:rFonts w:ascii="Cambria Math" w:hAnsi="Cambria Math" w:cstheme="minorHAnsi"/>
                          </w:rPr>
                          <m:t>1</m:t>
                        </m:r>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Pr>
          <w:rFonts w:eastAsiaTheme="minorEastAsia" w:cstheme="minorHAnsi"/>
          <w:iCs/>
        </w:rPr>
        <w:t xml:space="preserve"> </w:t>
      </w:r>
    </w:p>
    <w:p w14:paraId="6FE701C8" w14:textId="77777777" w:rsidR="0024551B" w:rsidRDefault="0024551B"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r>
          <w:rPr>
            <w:rFonts w:ascii="Cambria Math" w:eastAsiaTheme="minorEastAsia" w:hAnsi="Cambria Math" w:cstheme="minorHAnsi"/>
          </w:rPr>
          <m:t>1</m:t>
        </m:r>
      </m:oMath>
      <w:r>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w:t>
      </w:r>
      <w:r w:rsidRPr="001034BF">
        <w:rPr>
          <w:rFonts w:eastAsiaTheme="minorEastAsia" w:cstheme="minorHAnsi"/>
          <w:i/>
        </w:rPr>
        <w:t xml:space="preserve"> </w:t>
      </w:r>
      <w:r w:rsidRPr="001034BF">
        <w:rPr>
          <w:rFonts w:eastAsiaTheme="minorEastAsia" w:cstheme="minorHAnsi"/>
          <w:i/>
        </w:rPr>
        <w:t xml:space="preserve">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 xml:space="preserve">1 </m:t>
        </m:r>
        <m:r>
          <w:rPr>
            <w:rFonts w:ascii="Cambria Math" w:eastAsiaTheme="minorEastAsia" w:hAnsi="Cambria Math" w:cstheme="minorHAnsi"/>
          </w:rPr>
          <m:t>≤</m:t>
        </m:r>
        <m:r>
          <w:rPr>
            <w:rFonts w:ascii="Cambria Math" w:eastAsiaTheme="minorEastAsia" w:hAnsi="Cambria Math" w:cstheme="minorHAnsi"/>
          </w:rPr>
          <m:t xml:space="preserve"> k </m:t>
        </m:r>
        <m:r>
          <w:rPr>
            <w:rFonts w:ascii="Cambria Math" w:eastAsiaTheme="minorEastAsia" w:hAnsi="Cambria Math" w:cstheme="minorHAnsi"/>
          </w:rPr>
          <m:t>≤</m:t>
        </m:r>
        <m:r>
          <w:rPr>
            <w:rFonts w:ascii="Cambria Math" w:eastAsiaTheme="minorEastAsia" w:hAnsi="Cambria Math" w:cstheme="minorHAnsi"/>
          </w:rPr>
          <m:t xml:space="preserve">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112E9A"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353ED2"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Pr>
          <w:rFonts w:eastAsiaTheme="minorEastAsia" w:cstheme="minorHAnsi"/>
          <w:iCs/>
        </w:rPr>
        <w:t>,</w:t>
      </w:r>
      <m:oMath>
        <m:r>
          <w:rPr>
            <w:rFonts w:ascii="Cambria Math" w:eastAsiaTheme="minorEastAsia" w:hAnsi="Cambria Math" w:cstheme="minorHAnsi"/>
          </w:rPr>
          <m:t xml:space="preserve"> …</m:t>
        </m:r>
      </m:oMath>
      <w:r>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r>
                      <w:rPr>
                        <w:rFonts w:ascii="Cambria Math" w:eastAsiaTheme="minorEastAsia" w:hAnsi="Cambria Math" w:cstheme="minorHAnsi"/>
                      </w:rPr>
                      <m:t>-1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m:t>
        </m:r>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example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G</m:t>
        </m:r>
        <m:r>
          <w:rPr>
            <w:rFonts w:ascii="Cambria Math" w:hAnsi="Cambria Math"/>
          </w:rPr>
          <m:t>, 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2466F0">
      <w:pPr>
        <w:spacing w:after="0" w:line="240" w:lineRule="auto"/>
        <w:rPr>
          <w:rFonts w:eastAsiaTheme="minorEastAsia" w:cstheme="minorHAnsi"/>
        </w:rPr>
      </w:pPr>
      <w:r>
        <w:rPr>
          <w:rFonts w:eastAsiaTheme="minorEastAsia" w:cstheme="minorHAnsi"/>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F26AAC">
        <w:rPr>
          <w:rFonts w:eastAsiaTheme="minorEastAsia" w:cstheme="minorHAnsi"/>
          <w:b/>
          <w:b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190A8DDC" w:rsidR="00246FD9" w:rsidRPr="009D335A" w:rsidRDefault="00246FD9" w:rsidP="002466F0">
      <w:pPr>
        <w:spacing w:after="0" w:line="240" w:lineRule="auto"/>
        <w:rPr>
          <w:rFonts w:eastAsiaTheme="minorEastAsia" w:cstheme="minorHAnsi"/>
          <w:iCs/>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sectPr w:rsidR="00246FD9" w:rsidRPr="009D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6C4"/>
    <w:rsid w:val="00042589"/>
    <w:rsid w:val="000500A5"/>
    <w:rsid w:val="0008390E"/>
    <w:rsid w:val="000858B5"/>
    <w:rsid w:val="0009153E"/>
    <w:rsid w:val="000946A9"/>
    <w:rsid w:val="000B3E6B"/>
    <w:rsid w:val="000B5CB1"/>
    <w:rsid w:val="000D0999"/>
    <w:rsid w:val="000F5A3D"/>
    <w:rsid w:val="001034BF"/>
    <w:rsid w:val="00112E9A"/>
    <w:rsid w:val="001242C4"/>
    <w:rsid w:val="00127664"/>
    <w:rsid w:val="001336D3"/>
    <w:rsid w:val="001353CD"/>
    <w:rsid w:val="0014756F"/>
    <w:rsid w:val="00181655"/>
    <w:rsid w:val="001B7631"/>
    <w:rsid w:val="001C2894"/>
    <w:rsid w:val="001C6454"/>
    <w:rsid w:val="001C663F"/>
    <w:rsid w:val="001C7674"/>
    <w:rsid w:val="001E2B43"/>
    <w:rsid w:val="001E5CA4"/>
    <w:rsid w:val="001F4DCE"/>
    <w:rsid w:val="002038B4"/>
    <w:rsid w:val="00205D34"/>
    <w:rsid w:val="002155A0"/>
    <w:rsid w:val="0023044D"/>
    <w:rsid w:val="00233BCB"/>
    <w:rsid w:val="00242838"/>
    <w:rsid w:val="0024551B"/>
    <w:rsid w:val="002466F0"/>
    <w:rsid w:val="00246FD9"/>
    <w:rsid w:val="0027559A"/>
    <w:rsid w:val="002876F2"/>
    <w:rsid w:val="00287C95"/>
    <w:rsid w:val="002A3F1B"/>
    <w:rsid w:val="002C79F3"/>
    <w:rsid w:val="002D6F4B"/>
    <w:rsid w:val="002F3C8A"/>
    <w:rsid w:val="0031687A"/>
    <w:rsid w:val="00332BAC"/>
    <w:rsid w:val="003336B3"/>
    <w:rsid w:val="003346D0"/>
    <w:rsid w:val="0035305C"/>
    <w:rsid w:val="00353ED2"/>
    <w:rsid w:val="00380B8A"/>
    <w:rsid w:val="003829B3"/>
    <w:rsid w:val="0039206B"/>
    <w:rsid w:val="003A0271"/>
    <w:rsid w:val="003A5330"/>
    <w:rsid w:val="003A59D5"/>
    <w:rsid w:val="003D17DB"/>
    <w:rsid w:val="003D4DBB"/>
    <w:rsid w:val="004327C6"/>
    <w:rsid w:val="0046537A"/>
    <w:rsid w:val="004A4AAC"/>
    <w:rsid w:val="004B50E1"/>
    <w:rsid w:val="004C5123"/>
    <w:rsid w:val="004D46E7"/>
    <w:rsid w:val="004E6637"/>
    <w:rsid w:val="00501252"/>
    <w:rsid w:val="00502C11"/>
    <w:rsid w:val="0051642C"/>
    <w:rsid w:val="00521735"/>
    <w:rsid w:val="00524B78"/>
    <w:rsid w:val="00527D1C"/>
    <w:rsid w:val="00536920"/>
    <w:rsid w:val="005562D8"/>
    <w:rsid w:val="00563591"/>
    <w:rsid w:val="00577EED"/>
    <w:rsid w:val="00595296"/>
    <w:rsid w:val="005A0ABC"/>
    <w:rsid w:val="005D6523"/>
    <w:rsid w:val="005E1946"/>
    <w:rsid w:val="005F0096"/>
    <w:rsid w:val="00605AB2"/>
    <w:rsid w:val="00616816"/>
    <w:rsid w:val="006279D3"/>
    <w:rsid w:val="00633815"/>
    <w:rsid w:val="00650446"/>
    <w:rsid w:val="00687520"/>
    <w:rsid w:val="006A36B2"/>
    <w:rsid w:val="006A4738"/>
    <w:rsid w:val="006F48E9"/>
    <w:rsid w:val="006F5DBE"/>
    <w:rsid w:val="00714533"/>
    <w:rsid w:val="0071521A"/>
    <w:rsid w:val="007310D9"/>
    <w:rsid w:val="00767CC2"/>
    <w:rsid w:val="00784BC7"/>
    <w:rsid w:val="00791C6D"/>
    <w:rsid w:val="007B1EE0"/>
    <w:rsid w:val="007D641B"/>
    <w:rsid w:val="007D67A0"/>
    <w:rsid w:val="007E3C6A"/>
    <w:rsid w:val="00805857"/>
    <w:rsid w:val="00813298"/>
    <w:rsid w:val="008239AE"/>
    <w:rsid w:val="00844C6D"/>
    <w:rsid w:val="0085638A"/>
    <w:rsid w:val="00875DCD"/>
    <w:rsid w:val="0088016A"/>
    <w:rsid w:val="008D6162"/>
    <w:rsid w:val="008D6479"/>
    <w:rsid w:val="008F4F18"/>
    <w:rsid w:val="0090015B"/>
    <w:rsid w:val="0090661C"/>
    <w:rsid w:val="009436C6"/>
    <w:rsid w:val="009466C9"/>
    <w:rsid w:val="00960CB5"/>
    <w:rsid w:val="00964826"/>
    <w:rsid w:val="00974276"/>
    <w:rsid w:val="009815FF"/>
    <w:rsid w:val="00982A15"/>
    <w:rsid w:val="00982F5E"/>
    <w:rsid w:val="009928B7"/>
    <w:rsid w:val="009944C6"/>
    <w:rsid w:val="009C4B0E"/>
    <w:rsid w:val="009D335A"/>
    <w:rsid w:val="009D775F"/>
    <w:rsid w:val="009E3F2D"/>
    <w:rsid w:val="00A13260"/>
    <w:rsid w:val="00A305AF"/>
    <w:rsid w:val="00A86876"/>
    <w:rsid w:val="00A949B8"/>
    <w:rsid w:val="00A955B4"/>
    <w:rsid w:val="00AA1B3F"/>
    <w:rsid w:val="00AA6145"/>
    <w:rsid w:val="00AC63F7"/>
    <w:rsid w:val="00B00A97"/>
    <w:rsid w:val="00B0246C"/>
    <w:rsid w:val="00B06D70"/>
    <w:rsid w:val="00B171DA"/>
    <w:rsid w:val="00B23B2B"/>
    <w:rsid w:val="00B300C2"/>
    <w:rsid w:val="00B736D7"/>
    <w:rsid w:val="00BB266F"/>
    <w:rsid w:val="00BC1707"/>
    <w:rsid w:val="00BC1D3A"/>
    <w:rsid w:val="00C01232"/>
    <w:rsid w:val="00C074C9"/>
    <w:rsid w:val="00C3731F"/>
    <w:rsid w:val="00C46192"/>
    <w:rsid w:val="00C5334B"/>
    <w:rsid w:val="00C559E0"/>
    <w:rsid w:val="00C57A58"/>
    <w:rsid w:val="00C75221"/>
    <w:rsid w:val="00C75322"/>
    <w:rsid w:val="00C75894"/>
    <w:rsid w:val="00C75B14"/>
    <w:rsid w:val="00C96296"/>
    <w:rsid w:val="00CA1838"/>
    <w:rsid w:val="00CA5C46"/>
    <w:rsid w:val="00CA645C"/>
    <w:rsid w:val="00CE55F3"/>
    <w:rsid w:val="00CF226E"/>
    <w:rsid w:val="00D05C04"/>
    <w:rsid w:val="00D1167C"/>
    <w:rsid w:val="00D11854"/>
    <w:rsid w:val="00D26F69"/>
    <w:rsid w:val="00D27F37"/>
    <w:rsid w:val="00D30395"/>
    <w:rsid w:val="00DA7CCF"/>
    <w:rsid w:val="00DB1D32"/>
    <w:rsid w:val="00DB57EC"/>
    <w:rsid w:val="00DC34FB"/>
    <w:rsid w:val="00DF0CAF"/>
    <w:rsid w:val="00DF32EB"/>
    <w:rsid w:val="00E17761"/>
    <w:rsid w:val="00E319EB"/>
    <w:rsid w:val="00E37E38"/>
    <w:rsid w:val="00E557B0"/>
    <w:rsid w:val="00E75333"/>
    <w:rsid w:val="00E83A1B"/>
    <w:rsid w:val="00E8668F"/>
    <w:rsid w:val="00E87DD2"/>
    <w:rsid w:val="00E93CC5"/>
    <w:rsid w:val="00E969CD"/>
    <w:rsid w:val="00EA19DB"/>
    <w:rsid w:val="00EA5846"/>
    <w:rsid w:val="00EC09F7"/>
    <w:rsid w:val="00EC3ED6"/>
    <w:rsid w:val="00F1410A"/>
    <w:rsid w:val="00F26AAC"/>
    <w:rsid w:val="00F40AFD"/>
    <w:rsid w:val="00F5668C"/>
    <w:rsid w:val="00F57FCA"/>
    <w:rsid w:val="00F822FA"/>
    <w:rsid w:val="00F918FA"/>
    <w:rsid w:val="00F95477"/>
    <w:rsid w:val="00FA12F9"/>
    <w:rsid w:val="00FB24B6"/>
    <w:rsid w:val="00FB2B2C"/>
    <w:rsid w:val="00FB72C4"/>
    <w:rsid w:val="00FE0F0C"/>
    <w:rsid w:val="00FF6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B2C"/>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5017</TotalTime>
  <Pages>5</Pages>
  <Words>1921</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132</cp:revision>
  <dcterms:created xsi:type="dcterms:W3CDTF">2021-12-13T03:03:00Z</dcterms:created>
  <dcterms:modified xsi:type="dcterms:W3CDTF">2021-12-16T19:04:00Z</dcterms:modified>
</cp:coreProperties>
</file>