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F4A5" w14:textId="07795877" w:rsidR="00042DC8" w:rsidRPr="00B66971" w:rsidRDefault="00B66971" w:rsidP="00B66971">
      <w:pPr>
        <w:pStyle w:val="Heading1"/>
        <w:rPr>
          <w:sz w:val="28"/>
          <w:szCs w:val="28"/>
        </w:rPr>
      </w:pPr>
      <w:r w:rsidRPr="00B66971">
        <w:rPr>
          <w:sz w:val="28"/>
          <w:szCs w:val="28"/>
        </w:rPr>
        <w:t>Note on Corley’s</w:t>
      </w:r>
      <w:r w:rsidR="00D80604">
        <w:rPr>
          <w:sz w:val="28"/>
          <w:szCs w:val="28"/>
        </w:rPr>
        <w:t xml:space="preserve">, </w:t>
      </w:r>
      <w:r w:rsidRPr="00B66971">
        <w:rPr>
          <w:sz w:val="28"/>
          <w:szCs w:val="28"/>
        </w:rPr>
        <w:t xml:space="preserve">Borwein’s </w:t>
      </w:r>
      <w:r w:rsidR="00D80604">
        <w:rPr>
          <w:sz w:val="28"/>
          <w:szCs w:val="28"/>
        </w:rPr>
        <w:t>and Hartley’s Theorems</w:t>
      </w:r>
    </w:p>
    <w:p w14:paraId="19C7EC33" w14:textId="77777777" w:rsidR="00B66971" w:rsidRDefault="00B66971">
      <w:pPr>
        <w:rPr>
          <w:sz w:val="20"/>
          <w:szCs w:val="20"/>
        </w:rPr>
      </w:pPr>
    </w:p>
    <w:p w14:paraId="65D42C92" w14:textId="77777777" w:rsidR="00B66971" w:rsidRPr="00B66971" w:rsidRDefault="00B66971">
      <w:pPr>
        <w:rPr>
          <w:sz w:val="20"/>
          <w:szCs w:val="20"/>
        </w:rPr>
      </w:pPr>
    </w:p>
    <w:sectPr w:rsidR="00B66971" w:rsidRPr="00B6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07"/>
    <w:rsid w:val="00042DC8"/>
    <w:rsid w:val="0022629E"/>
    <w:rsid w:val="00B66971"/>
    <w:rsid w:val="00D80604"/>
    <w:rsid w:val="00D9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662C3"/>
  <w15:chartTrackingRefBased/>
  <w15:docId w15:val="{D0E6B870-B695-3D40-823C-21E69CC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2024-01-13T07:17:00Z</dcterms:created>
  <dcterms:modified xsi:type="dcterms:W3CDTF">2024-01-13T07:17:00Z</dcterms:modified>
</cp:coreProperties>
</file>