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17623F93"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parameters</w:t>
      </w:r>
      <w:r w:rsidR="00B21BD4">
        <w:rPr>
          <w:rFonts w:eastAsiaTheme="minorEastAsia"/>
          <w:sz w:val="20"/>
          <w:szCs w:val="20"/>
        </w:rPr>
        <w:t xml:space="preserve"> </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m:t>
        </m:r>
        <m:r>
          <w:rPr>
            <w:rFonts w:ascii="Cambria Math" w:eastAsiaTheme="minorEastAsia" w:hAnsi="Cambria Math"/>
            <w:sz w:val="20"/>
            <w:szCs w:val="20"/>
          </w:rPr>
          <m:t>×p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05C1F1F6"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w:rPr>
                <w:rFonts w:ascii="Cambria Math" w:hAnsi="Cambria Math"/>
                <w:sz w:val="20"/>
                <w:szCs w:val="20"/>
              </w:rPr>
              <m:t xml:space="preserve">0,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model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m:t>
        </m:r>
        <m:r>
          <w:rPr>
            <w:rFonts w:ascii="Cambria Math" w:hAnsi="Cambria Math"/>
            <w:sz w:val="20"/>
            <w:szCs w:val="20"/>
          </w:rPr>
          <m:t>&gt;0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0DB2F34A"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w:rPr>
                <w:rFonts w:ascii="Cambria Math" w:hAnsi="Cambria Math"/>
                <w:sz w:val="20"/>
                <w:szCs w:val="20"/>
              </w:rPr>
              <m:t>|</m:t>
            </m:r>
            <m:r>
              <m:rPr>
                <m:sty m:val="b"/>
              </m:rP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362C9F04" w14:textId="682FC2D1" w:rsidR="00B204C7" w:rsidRPr="000172E5" w:rsidRDefault="00B204C7" w:rsidP="002C119F">
      <w:pPr>
        <w:rPr>
          <w:sz w:val="20"/>
          <w:szCs w:val="20"/>
        </w:rPr>
      </w:pPr>
      <w:r>
        <w:rPr>
          <w:rFonts w:eastAsiaTheme="minorEastAsia"/>
          <w:iCs/>
          <w:sz w:val="20"/>
          <w:szCs w:val="20"/>
        </w:rPr>
        <w:t xml:space="preserve">where, as before, </w:t>
      </w:r>
      <m:oMath>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variables given the sample </w:t>
      </w:r>
      <m:oMath>
        <m:r>
          <m:rPr>
            <m:sty m:val="b"/>
          </m:rPr>
          <w:rPr>
            <w:rFonts w:ascii="Cambria Math" w:eastAsiaTheme="minorEastAsia" w:hAnsi="Cambria Math"/>
            <w:sz w:val="20"/>
            <w:szCs w:val="20"/>
          </w:rPr>
          <m:t>s</m:t>
        </m:r>
      </m:oMath>
      <w:r>
        <w:rPr>
          <w:rFonts w:eastAsiaTheme="minorEastAsia"/>
          <w:sz w:val="20"/>
          <w:szCs w:val="20"/>
        </w:rPr>
        <w:t>.</w:t>
      </w:r>
    </w:p>
    <w:p w14:paraId="75046101" w14:textId="77777777" w:rsidR="002A512D" w:rsidRDefault="002A512D"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530ABFA1"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w:rPr>
                <w:rFonts w:ascii="Cambria Math" w:hAnsi="Cambria Math"/>
                <w:sz w:val="20"/>
                <w:szCs w:val="20"/>
              </w:rPr>
              <m:t>|</m:t>
            </m:r>
            <m:r>
              <m:rPr>
                <m:sty m:val="b"/>
              </m:rP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w:t>
      </w:r>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w:t>
      </w:r>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7C407807"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4CC891F0" w:rsidR="00CA5BC0" w:rsidRDefault="00CA5BC0" w:rsidP="002C119F">
      <w:pPr>
        <w:rPr>
          <w:sz w:val="20"/>
          <w:szCs w:val="20"/>
        </w:rPr>
      </w:pPr>
      <m:oMath>
        <m:r>
          <w:rPr>
            <w:rFonts w:ascii="Cambria Math" w:eastAsiaTheme="minorEastAsia" w:hAnsi="Cambria Math"/>
            <w:sz w:val="20"/>
            <w:szCs w:val="20"/>
          </w:rPr>
          <m:t>K</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m:t>
                    </m:r>
                    <m:r>
                      <w:rPr>
                        <w:rFonts w:ascii="Cambria Math" w:hAnsi="Cambria Math"/>
                        <w:sz w:val="20"/>
                        <w:szCs w:val="20"/>
                      </w:rPr>
                      <m:t>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w:lastRenderedPageBreak/>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 xml:space="preserve">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r>
        <w:rPr>
          <w:rFonts w:eastAsiaTheme="minorEastAsia"/>
          <w:sz w:val="20"/>
          <w:szCs w:val="20"/>
        </w:rPr>
        <w:t xml:space="preserve">where </w:t>
      </w:r>
    </w:p>
    <w:p w14:paraId="17CB92AE" w14:textId="77777777" w:rsidR="004B1116" w:rsidRDefault="004B1116" w:rsidP="002C119F">
      <w:pPr>
        <w:rPr>
          <w:rFonts w:eastAsiaTheme="minorEastAsia"/>
          <w:sz w:val="20"/>
          <w:szCs w:val="20"/>
        </w:rPr>
      </w:pPr>
    </w:p>
    <w:p w14:paraId="215D8051" w14:textId="5BC5A76A" w:rsidR="004B1116" w:rsidRDefault="004B1116"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 xml:space="preserve"> | </m:t>
            </m:r>
            <m:r>
              <w:rPr>
                <w:rFonts w:ascii="Cambria Math" w:hAnsi="Cambria Math"/>
                <w:sz w:val="20"/>
                <w:szCs w:val="20"/>
              </w:rPr>
              <m:t>τ</m:t>
            </m:r>
          </m:e>
        </m:d>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-μ</m:t>
            </m:r>
          </m:e>
        </m:d>
      </m:oMath>
      <w:r>
        <w:rPr>
          <w:rFonts w:eastAsiaTheme="minorEastAsia"/>
          <w:iCs/>
          <w:sz w:val="20"/>
          <w:szCs w:val="20"/>
        </w:rPr>
        <w:t>,</w:t>
      </w:r>
      <w:r>
        <w:rPr>
          <w:rFonts w:eastAsiaTheme="minorEastAsia"/>
          <w:iCs/>
          <w:sz w:val="20"/>
          <w:szCs w:val="20"/>
        </w:rPr>
        <w:t xml:space="preserve">   </w:t>
      </w:r>
      <m:oMath>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w:t>
      </w:r>
      <w:r>
        <w:rPr>
          <w:rFonts w:eastAsiaTheme="minorEastAsia"/>
          <w:sz w:val="20"/>
          <w:szCs w:val="20"/>
        </w:rPr>
        <w:t>(6)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m:t>
        </m:r>
        <m:r>
          <w:rPr>
            <w:rFonts w:ascii="Cambria Math" w:eastAsiaTheme="minorEastAsia" w:hAnsi="Cambria Math"/>
            <w:sz w:val="20"/>
            <w:szCs w:val="20"/>
          </w:rPr>
          <m:t>×p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m:t>
        </m:r>
        <m:r>
          <w:rPr>
            <w:rFonts w:ascii="Cambria Math" w:eastAsiaTheme="minorEastAsia" w:hAnsi="Cambria Math"/>
            <w:sz w:val="20"/>
            <w:szCs w:val="20"/>
          </w:rPr>
          <m:t>&gt;0</m:t>
        </m:r>
      </m:oMath>
    </w:p>
    <w:p w14:paraId="0E45BC7B" w14:textId="77777777" w:rsidR="003C392E" w:rsidRDefault="003C392E" w:rsidP="002C119F">
      <w:pPr>
        <w:rPr>
          <w:rFonts w:eastAsiaTheme="minorEastAsia"/>
          <w:iCs/>
          <w:sz w:val="20"/>
          <w:szCs w:val="20"/>
        </w:rPr>
      </w:pPr>
    </w:p>
    <w:p w14:paraId="0C538608" w14:textId="767064D8" w:rsidR="003C392E" w:rsidRDefault="003C392E"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m:t>
            </m:r>
            <m:r>
              <w:rPr>
                <w:rFonts w:ascii="Cambria Math" w:eastAsiaTheme="minorEastAsia" w:hAnsi="Cambria Math"/>
                <w:sz w:val="20"/>
                <w:szCs w:val="20"/>
              </w:rPr>
              <m:t>-1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Pr>
          <w:rFonts w:eastAsiaTheme="minorEastAsia"/>
          <w:iCs/>
          <w:sz w:val="20"/>
          <w:szCs w:val="20"/>
        </w:rPr>
        <w:t xml:space="preserve">,  </w:t>
      </w:r>
      <m:oMath>
        <m:r>
          <w:rPr>
            <w:rFonts w:ascii="Cambria Math" w:hAnsi="Cambria Math"/>
            <w:sz w:val="20"/>
            <w:szCs w:val="20"/>
          </w:rPr>
          <m:t>τ&gt;0</m:t>
        </m:r>
      </m:oMath>
      <w:r>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DA2D44"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m:t>
                            </m:r>
                            <m:r>
                              <m:rPr>
                                <m:sty m:val="b"/>
                              </m:rPr>
                              <w:rPr>
                                <w:rFonts w:ascii="Cambria Math" w:hAnsi="Cambria Math"/>
                                <w:sz w:val="20"/>
                                <w:szCs w:val="20"/>
                              </w:rPr>
                              <m:t>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m:t>
                    </m:r>
                    <m:r>
                      <m:rPr>
                        <m:sty m:val="b"/>
                      </m:rPr>
                      <w:rPr>
                        <w:rFonts w:ascii="Cambria Math"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r>
          <m:rPr>
            <m:sty m:val="b"/>
          </m:rPr>
          <w:rPr>
            <w:rFonts w:ascii="Cambria Math" w:hAnsi="Cambria Math"/>
            <w:sz w:val="20"/>
            <w:szCs w:val="20"/>
          </w:rPr>
          <m:t>∈</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05DB4D4C" w:rsidR="00F534E7" w:rsidRDefault="00B22521" w:rsidP="002C119F">
      <w:pPr>
        <w:rPr>
          <w:sz w:val="20"/>
          <w:szCs w:val="20"/>
        </w:rPr>
      </w:pPr>
      <w:r>
        <w:rPr>
          <w:sz w:val="20"/>
          <w:szCs w:val="20"/>
        </w:rPr>
        <w:t>which is a Student t density</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is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Q</m:t>
        </m:r>
        <m:r>
          <w:rPr>
            <w:rFonts w:ascii="Cambria Math" w:eastAsiaTheme="minorEastAsia" w:hAnsi="Cambria Math"/>
            <w:sz w:val="20"/>
            <w:szCs w:val="20"/>
          </w:rPr>
          <m:t xml:space="preserve">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Q</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4D79878D" w:rsidR="00EC0A59" w:rsidRDefault="007D1FFF"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r>
              <w:rPr>
                <w:rFonts w:ascii="Cambria Math" w:eastAsiaTheme="minorEastAsia" w:hAnsi="Cambria Math"/>
                <w:sz w:val="20"/>
                <w:szCs w:val="20"/>
              </w:rPr>
              <m:t>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Pr>
          <w:rFonts w:eastAsiaTheme="minorEastAsia"/>
          <w:sz w:val="20"/>
          <w:szCs w:val="20"/>
        </w:rPr>
        <w:t xml:space="preserve"> , </w:t>
      </w:r>
      <m:oMath>
        <m:r>
          <w:rPr>
            <w:rFonts w:ascii="Cambria Math" w:eastAsiaTheme="minorEastAsia" w:hAnsi="Cambria Math"/>
            <w:sz w:val="20"/>
            <w:szCs w:val="20"/>
          </w:rPr>
          <m:t>x&gt;0</m:t>
        </m:r>
      </m:oMath>
      <w:r>
        <w:rPr>
          <w:rFonts w:eastAsiaTheme="minorEastAsia"/>
          <w:sz w:val="20"/>
          <w:szCs w:val="20"/>
        </w:rPr>
        <w:t xml:space="preserve"> ; for </w:t>
      </w:r>
      <m:oMath>
        <m:r>
          <w:rPr>
            <w:rFonts w:ascii="Cambria Math" w:eastAsiaTheme="minorEastAsia" w:hAnsi="Cambria Math"/>
            <w:sz w:val="20"/>
            <w:szCs w:val="20"/>
          </w:rPr>
          <m:t>x</m:t>
        </m:r>
        <m:r>
          <w:rPr>
            <w:rFonts w:ascii="Cambria Math" w:eastAsiaTheme="minorEastAsia" w:hAnsi="Cambria Math"/>
            <w:sz w:val="20"/>
            <w:szCs w:val="20"/>
          </w:rPr>
          <m:t>≤0</m:t>
        </m:r>
      </m:oMath>
      <w:r>
        <w:rPr>
          <w:rFonts w:eastAsiaTheme="minorEastAsia"/>
          <w:sz w:val="20"/>
          <w:szCs w:val="20"/>
        </w:rPr>
        <w:t xml:space="preserve"> it is 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m:t>
            </m:r>
            <m:r>
              <w:rPr>
                <w:rFonts w:ascii="Cambria Math" w:eastAsiaTheme="minorEastAsia" w:hAnsi="Cambria Math"/>
                <w:sz w:val="20"/>
                <w:szCs w:val="20"/>
              </w:rPr>
              <m:t>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lastRenderedPageBreak/>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p>
    <w:p w14:paraId="79EB4152" w14:textId="77777777" w:rsidR="00A96F29" w:rsidRDefault="00A96F29" w:rsidP="002C119F">
      <w:pPr>
        <w:rPr>
          <w:sz w:val="20"/>
          <w:szCs w:val="20"/>
        </w:rPr>
      </w:pPr>
    </w:p>
    <w:p w14:paraId="164A4067" w14:textId="4158F44C" w:rsidR="00BB24ED" w:rsidRPr="00077914" w:rsidRDefault="00BB24ED" w:rsidP="00077914">
      <w:pPr>
        <w:pStyle w:val="Heading3"/>
        <w:spacing w:before="0" w:after="0"/>
        <w:rPr>
          <w:sz w:val="22"/>
          <w:szCs w:val="22"/>
        </w:rPr>
      </w:pPr>
      <w:r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are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06A9CB0A"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 xml:space="preserve">the location parameters of two samples to each other. A common situation is where the two populations correspond to research subjects who have been treated with two different treatments (one of them possibly being a control or placebo). In this case, the goal is to assess </w:t>
      </w:r>
      <w:proofErr w:type="spellStart"/>
      <w:r w:rsidR="00792E72">
        <w:rPr>
          <w:sz w:val="20"/>
          <w:szCs w:val="20"/>
        </w:rPr>
        <w:t>whther</w:t>
      </w:r>
      <w:proofErr w:type="spellEnd"/>
      <w:r w:rsidR="00792E72">
        <w:rPr>
          <w:sz w:val="20"/>
          <w:szCs w:val="20"/>
        </w:rPr>
        <w:t xml:space="preserve">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77777777" w:rsidR="00BC6DDB" w:rsidRDefault="002438E7" w:rsidP="002C119F">
      <w:pPr>
        <w:rPr>
          <w:rFonts w:eastAsiaTheme="minorEastAsia"/>
          <w:sz w:val="20"/>
          <w:szCs w:val="20"/>
        </w:rPr>
      </w:pPr>
      <w:r>
        <w:rPr>
          <w:sz w:val="20"/>
          <w:szCs w:val="20"/>
        </w:rPr>
        <w:t xml:space="preserve">One-sample t-test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72DBFC4D" w:rsidR="00DD67AD" w:rsidRDefault="00DD67AD" w:rsidP="002C119F">
      <w:pPr>
        <w:rPr>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lastRenderedPageBreak/>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62C3F7C9" w14:textId="77777777" w:rsidR="009C284F" w:rsidRDefault="009C284F" w:rsidP="002C119F">
      <w:pPr>
        <w:rPr>
          <w:rFonts w:eastAsiaTheme="minorEastAsia"/>
          <w:sz w:val="20"/>
          <w:szCs w:val="20"/>
        </w:rPr>
      </w:pPr>
    </w:p>
    <w:p w14:paraId="5DE5C42D" w14:textId="79535421" w:rsidR="009C284F" w:rsidRDefault="0096415A"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m:t>
                    </m:r>
                    <m:r>
                      <w:rPr>
                        <w:rFonts w:ascii="Cambria Math" w:hAnsi="Cambria Math"/>
                        <w:sz w:val="20"/>
                        <w:szCs w:val="20"/>
                      </w:rPr>
                      <m:t>+1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m:t>
                </m:r>
                <m:r>
                  <w:rPr>
                    <w:rFonts w:ascii="Cambria Math" w:hAnsi="Cambria Math"/>
                    <w:sz w:val="20"/>
                    <w:szCs w:val="20"/>
                  </w:rPr>
                  <m:t>ν</m:t>
                </m:r>
              </m:e>
            </m:rad>
            <m:r>
              <m:rPr>
                <m:sty m:val="p"/>
              </m:rPr>
              <w:rPr>
                <w:rFonts w:ascii="Cambria Math" w:hAnsi="Cambria Math"/>
                <w:sz w:val="20"/>
                <w:szCs w:val="20"/>
              </w:rPr>
              <m:t xml:space="preserve"> </m:t>
            </m:r>
            <m:r>
              <m:rPr>
                <m:sty m:val="p"/>
              </m:rPr>
              <w:rPr>
                <w:rFonts w:ascii="Cambria Math" w:hAnsi="Cambria Math"/>
                <w:sz w:val="20"/>
                <w:szCs w:val="20"/>
              </w:rPr>
              <m:t>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m:t>
                </m:r>
                <m:r>
                  <w:rPr>
                    <w:rFonts w:ascii="Cambria Math" w:hAnsi="Cambria Math"/>
                    <w:sz w:val="20"/>
                    <w:szCs w:val="20"/>
                  </w:rPr>
                  <m:t>+1</m:t>
                </m:r>
              </m:e>
            </m:d>
            <m:r>
              <w:rPr>
                <w:rFonts w:ascii="Cambria Math" w:hAnsi="Cambria Math"/>
                <w:sz w:val="20"/>
                <w:szCs w:val="20"/>
              </w:rPr>
              <m:t>/2</m:t>
            </m:r>
          </m:sup>
        </m:sSup>
      </m:oMath>
      <w:r>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45C8FA95"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m:t>
        </m:r>
        <m:r>
          <w:rPr>
            <w:rFonts w:ascii="Cambria Math" w:hAnsi="Cambria Math"/>
            <w:sz w:val="20"/>
            <w:szCs w:val="20"/>
          </w:rPr>
          <m:t>=1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becomes </w:t>
      </w:r>
      <w:r>
        <w:rPr>
          <w:rFonts w:eastAsiaTheme="minorEastAsia"/>
          <w:sz w:val="20"/>
          <w:szCs w:val="20"/>
        </w:rPr>
        <w:t xml:space="preserve"> </w:t>
      </w:r>
      <w:r w:rsidR="00A9361D">
        <w:rPr>
          <w:rFonts w:eastAsiaTheme="minorEastAsia"/>
          <w:sz w:val="20"/>
          <w:szCs w:val="20"/>
        </w:rPr>
        <w:t>the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m:t>
        </m:r>
        <m:r>
          <w:rPr>
            <w:rFonts w:ascii="Cambria Math" w:eastAsiaTheme="minorEastAsia" w:hAnsi="Cambria Math"/>
            <w:sz w:val="20"/>
            <w:szCs w:val="20"/>
          </w:rPr>
          <m:t>=1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5733A573" w14:textId="744DA882" w:rsidR="00F1103D"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 Let u</w:t>
      </w:r>
    </w:p>
    <w:p w14:paraId="2464B95D" w14:textId="77777777" w:rsidR="00F1103D" w:rsidRPr="00E03E5D" w:rsidRDefault="00F1103D"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77914"/>
    <w:rsid w:val="000C0C92"/>
    <w:rsid w:val="000D4184"/>
    <w:rsid w:val="000D5CD1"/>
    <w:rsid w:val="00162380"/>
    <w:rsid w:val="001F1A7F"/>
    <w:rsid w:val="00210299"/>
    <w:rsid w:val="002345A3"/>
    <w:rsid w:val="002438E7"/>
    <w:rsid w:val="00245A41"/>
    <w:rsid w:val="00295833"/>
    <w:rsid w:val="002A512D"/>
    <w:rsid w:val="002C119F"/>
    <w:rsid w:val="002F696B"/>
    <w:rsid w:val="0034108E"/>
    <w:rsid w:val="003C0FBF"/>
    <w:rsid w:val="003C392E"/>
    <w:rsid w:val="004B1116"/>
    <w:rsid w:val="004D0E26"/>
    <w:rsid w:val="005A37A0"/>
    <w:rsid w:val="0061065F"/>
    <w:rsid w:val="006B5833"/>
    <w:rsid w:val="006C3DC5"/>
    <w:rsid w:val="006F20D3"/>
    <w:rsid w:val="006F3F79"/>
    <w:rsid w:val="0079247B"/>
    <w:rsid w:val="00792E72"/>
    <w:rsid w:val="007C5F78"/>
    <w:rsid w:val="007D1FFF"/>
    <w:rsid w:val="007D6BA0"/>
    <w:rsid w:val="00812FD3"/>
    <w:rsid w:val="00813261"/>
    <w:rsid w:val="008B5BAE"/>
    <w:rsid w:val="008C29CD"/>
    <w:rsid w:val="0094209F"/>
    <w:rsid w:val="0096415A"/>
    <w:rsid w:val="0098513C"/>
    <w:rsid w:val="009C284F"/>
    <w:rsid w:val="00A15931"/>
    <w:rsid w:val="00A476B4"/>
    <w:rsid w:val="00A9361D"/>
    <w:rsid w:val="00A96F29"/>
    <w:rsid w:val="00B204C7"/>
    <w:rsid w:val="00B21BD4"/>
    <w:rsid w:val="00B22521"/>
    <w:rsid w:val="00B46F32"/>
    <w:rsid w:val="00B75CBF"/>
    <w:rsid w:val="00B91C54"/>
    <w:rsid w:val="00B94E48"/>
    <w:rsid w:val="00BB24ED"/>
    <w:rsid w:val="00BC52C0"/>
    <w:rsid w:val="00BC6D68"/>
    <w:rsid w:val="00BC6DDB"/>
    <w:rsid w:val="00BF1ECD"/>
    <w:rsid w:val="00C3055B"/>
    <w:rsid w:val="00CA5BC0"/>
    <w:rsid w:val="00CF7E19"/>
    <w:rsid w:val="00D50065"/>
    <w:rsid w:val="00D60755"/>
    <w:rsid w:val="00D725DC"/>
    <w:rsid w:val="00DA2D44"/>
    <w:rsid w:val="00DC4347"/>
    <w:rsid w:val="00DD67AD"/>
    <w:rsid w:val="00E03E5D"/>
    <w:rsid w:val="00E05AA0"/>
    <w:rsid w:val="00E12348"/>
    <w:rsid w:val="00E15777"/>
    <w:rsid w:val="00EA78C3"/>
    <w:rsid w:val="00EB2827"/>
    <w:rsid w:val="00EC0A59"/>
    <w:rsid w:val="00ED29DC"/>
    <w:rsid w:val="00F1103D"/>
    <w:rsid w:val="00F14DAD"/>
    <w:rsid w:val="00F534E7"/>
    <w:rsid w:val="00F70240"/>
    <w:rsid w:val="00F82AB0"/>
    <w:rsid w:val="00F87913"/>
    <w:rsid w:val="00FB3280"/>
    <w:rsid w:val="00FC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dcterms:created xsi:type="dcterms:W3CDTF">2024-04-16T17:57:00Z</dcterms:created>
  <dcterms:modified xsi:type="dcterms:W3CDTF">2024-04-18T15:21:00Z</dcterms:modified>
</cp:coreProperties>
</file>