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2137" w14:textId="39A3A2A5" w:rsidR="00503FD8" w:rsidRPr="00245420" w:rsidRDefault="00245420" w:rsidP="00245420">
      <w:pPr>
        <w:pStyle w:val="Heading1"/>
        <w:spacing w:before="0" w:after="0"/>
        <w:rPr>
          <w:sz w:val="28"/>
          <w:szCs w:val="28"/>
        </w:rPr>
      </w:pPr>
      <w:r w:rsidRPr="00245420">
        <w:rPr>
          <w:sz w:val="28"/>
          <w:szCs w:val="28"/>
        </w:rPr>
        <w:t>Notes on the Burke’s Theorem</w:t>
      </w:r>
    </w:p>
    <w:p w14:paraId="7B4CB117" w14:textId="7151439D" w:rsidR="00245420" w:rsidRDefault="00245420">
      <w:pPr>
        <w:rPr>
          <w:sz w:val="20"/>
          <w:szCs w:val="20"/>
        </w:rPr>
      </w:pPr>
      <w:r>
        <w:rPr>
          <w:sz w:val="20"/>
          <w:szCs w:val="20"/>
        </w:rPr>
        <w:t>compiled by D. Gueorguiev, 4/21/2024</w:t>
      </w:r>
    </w:p>
    <w:p w14:paraId="04CD8571" w14:textId="77777777" w:rsidR="002B61E3" w:rsidRDefault="002B61E3">
      <w:pPr>
        <w:rPr>
          <w:sz w:val="20"/>
          <w:szCs w:val="20"/>
        </w:rPr>
      </w:pPr>
    </w:p>
    <w:p w14:paraId="5A8E5D0B" w14:textId="58C3C4D9" w:rsidR="002B61E3" w:rsidRPr="002B61E3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Introductory notes</w:t>
      </w:r>
    </w:p>
    <w:p w14:paraId="15881ED7" w14:textId="407BEF01" w:rsidR="002B61E3" w:rsidRDefault="002165D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Burke’s Theorem asserts that for </w:t>
      </w:r>
      <m:oMath>
        <m:r>
          <w:rPr>
            <w:rFonts w:ascii="Cambria Math" w:hAnsi="Cambria Math"/>
            <w:sz w:val="20"/>
            <w:szCs w:val="20"/>
          </w:rPr>
          <m:t>M/M/1</m:t>
        </m:r>
      </m:oMath>
      <w:r>
        <w:rPr>
          <w:sz w:val="20"/>
          <w:szCs w:val="20"/>
        </w:rPr>
        <w:t xml:space="preserve"> queue, </w:t>
      </w:r>
      <m:oMath>
        <m:r>
          <w:rPr>
            <w:rFonts w:ascii="Cambria Math" w:hAnsi="Cambria Math"/>
            <w:sz w:val="20"/>
            <w:szCs w:val="20"/>
          </w:rPr>
          <m:t>M/M/c</m:t>
        </m:r>
      </m:oMath>
      <w:r>
        <w:rPr>
          <w:sz w:val="20"/>
          <w:szCs w:val="20"/>
        </w:rPr>
        <w:t xml:space="preserve"> queue, and </w:t>
      </w:r>
      <m:oMath>
        <m:r>
          <w:rPr>
            <w:rFonts w:ascii="Cambria Math" w:hAnsi="Cambria Math"/>
            <w:sz w:val="20"/>
            <w:szCs w:val="20"/>
          </w:rPr>
          <m:t>M/M/</m:t>
        </m:r>
        <m:r>
          <w:rPr>
            <w:rFonts w:ascii="Cambria Math" w:hAnsi="Cambria Math"/>
            <w:sz w:val="20"/>
            <w:szCs w:val="20"/>
          </w:rPr>
          <m:t>∞</m:t>
        </m:r>
      </m:oMath>
      <w:r>
        <w:rPr>
          <w:rFonts w:eastAsiaTheme="minorEastAsia"/>
          <w:sz w:val="20"/>
          <w:szCs w:val="20"/>
        </w:rPr>
        <w:t xml:space="preserve"> queue </w:t>
      </w:r>
      <w:r w:rsidRPr="002165D1">
        <w:rPr>
          <w:rFonts w:eastAsiaTheme="minorEastAsia"/>
          <w:i/>
          <w:iCs/>
          <w:sz w:val="20"/>
          <w:szCs w:val="20"/>
        </w:rPr>
        <w:t>in steady state</w:t>
      </w:r>
      <w:r>
        <w:rPr>
          <w:rFonts w:eastAsiaTheme="minorEastAsia"/>
          <w:sz w:val="20"/>
          <w:szCs w:val="20"/>
        </w:rPr>
        <w:t xml:space="preserve"> with Poisson arrivals with rate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 then:</w:t>
      </w:r>
    </w:p>
    <w:p w14:paraId="390A0133" w14:textId="6984264B" w:rsidR="002165D1" w:rsidRDefault="002165D1">
      <w:pPr>
        <w:rPr>
          <w:rFonts w:eastAsiaTheme="minorEastAsia" w:cs="Times New Roman"/>
          <w:sz w:val="20"/>
          <w:szCs w:val="20"/>
        </w:rPr>
      </w:pPr>
      <w:r w:rsidRPr="002165D1">
        <w:rPr>
          <w:rFonts w:ascii="Times New Roman" w:eastAsiaTheme="minorEastAsia" w:hAnsi="Times New Roman" w:cs="Times New Roman"/>
          <w:sz w:val="20"/>
          <w:szCs w:val="20"/>
        </w:rPr>
        <w:t>i)</w:t>
      </w:r>
      <w:r w:rsidRPr="002165D1">
        <w:rPr>
          <w:rFonts w:eastAsiaTheme="minorEastAsia" w:cs="Times New Roman"/>
          <w:sz w:val="20"/>
          <w:szCs w:val="20"/>
        </w:rPr>
        <w:t xml:space="preserve"> The </w:t>
      </w:r>
      <w:r>
        <w:rPr>
          <w:rFonts w:eastAsiaTheme="minorEastAsia" w:cs="Times New Roman"/>
          <w:sz w:val="20"/>
          <w:szCs w:val="20"/>
        </w:rPr>
        <w:t xml:space="preserve">departure process is Poisson process with rate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 w:cs="Times New Roman"/>
          <w:sz w:val="20"/>
          <w:szCs w:val="20"/>
        </w:rPr>
        <w:t xml:space="preserve"> as well</w:t>
      </w:r>
    </w:p>
    <w:p w14:paraId="1F0DA51E" w14:textId="380E0814" w:rsidR="002165D1" w:rsidRPr="002165D1" w:rsidRDefault="002165D1">
      <w:pPr>
        <w:rPr>
          <w:rFonts w:cs="Times New Roman"/>
          <w:sz w:val="20"/>
          <w:szCs w:val="20"/>
        </w:rPr>
      </w:pPr>
      <w:r w:rsidRPr="002165D1">
        <w:rPr>
          <w:rFonts w:ascii="Times New Roman" w:eastAsiaTheme="minorEastAsia" w:hAnsi="Times New Roman" w:cs="Times New Roman"/>
          <w:sz w:val="20"/>
          <w:szCs w:val="20"/>
        </w:rPr>
        <w:t>i</w:t>
      </w:r>
      <w:r>
        <w:rPr>
          <w:rFonts w:ascii="Times New Roman" w:eastAsiaTheme="minorEastAsia" w:hAnsi="Times New Roman" w:cs="Times New Roman"/>
          <w:sz w:val="20"/>
          <w:szCs w:val="20"/>
        </w:rPr>
        <w:t>i</w:t>
      </w:r>
      <w:r w:rsidRPr="002165D1">
        <w:rPr>
          <w:rFonts w:ascii="Times New Roman" w:eastAsiaTheme="minorEastAsia" w:hAnsi="Times New Roman" w:cs="Times New Roman"/>
          <w:sz w:val="20"/>
          <w:szCs w:val="20"/>
        </w:rPr>
        <w:t>)</w:t>
      </w:r>
      <w:r>
        <w:rPr>
          <w:rFonts w:eastAsiaTheme="minorEastAsia" w:cs="Times New Roman"/>
          <w:sz w:val="20"/>
          <w:szCs w:val="20"/>
        </w:rPr>
        <w:t xml:space="preserve"> </w:t>
      </w:r>
      <w:r w:rsidR="00CA138C">
        <w:rPr>
          <w:rFonts w:eastAsiaTheme="minorEastAsia" w:cs="Times New Roman"/>
          <w:sz w:val="20"/>
          <w:szCs w:val="20"/>
        </w:rPr>
        <w:t xml:space="preserve">At time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="00CA138C">
        <w:rPr>
          <w:rFonts w:eastAsiaTheme="minorEastAsia" w:cs="Times New Roman"/>
          <w:sz w:val="20"/>
          <w:szCs w:val="20"/>
        </w:rPr>
        <w:t xml:space="preserve"> the number of customers in the queue is independent of the departure process prior to time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</w:p>
    <w:p w14:paraId="73666D02" w14:textId="77777777" w:rsidR="00E10C45" w:rsidRDefault="00E10C45">
      <w:pPr>
        <w:rPr>
          <w:sz w:val="20"/>
          <w:szCs w:val="20"/>
        </w:rPr>
      </w:pPr>
    </w:p>
    <w:p w14:paraId="18D54C89" w14:textId="77777777" w:rsidR="001D1397" w:rsidRDefault="00D03326">
      <w:pPr>
        <w:rPr>
          <w:sz w:val="20"/>
          <w:szCs w:val="20"/>
        </w:rPr>
      </w:pPr>
      <w:r>
        <w:rPr>
          <w:sz w:val="20"/>
          <w:szCs w:val="20"/>
        </w:rPr>
        <w:t xml:space="preserve">The Proof of this theorem is facilitated by considering reversible stochastic process and showing that the </w:t>
      </w:r>
      <m:oMath>
        <m:r>
          <w:rPr>
            <w:rFonts w:ascii="Cambria Math" w:hAnsi="Cambria Math"/>
            <w:sz w:val="20"/>
            <w:szCs w:val="20"/>
          </w:rPr>
          <m:t>M/M/1</m:t>
        </m:r>
      </m:oMath>
      <w:r>
        <w:rPr>
          <w:sz w:val="20"/>
          <w:szCs w:val="20"/>
        </w:rPr>
        <w:t xml:space="preserve"> queue is a reversible stochastic process</w:t>
      </w:r>
      <w:r w:rsidR="0063001D">
        <w:rPr>
          <w:sz w:val="20"/>
          <w:szCs w:val="20"/>
        </w:rPr>
        <w:t>, that is Markov chain</w:t>
      </w:r>
      <w:r>
        <w:rPr>
          <w:sz w:val="20"/>
          <w:szCs w:val="20"/>
        </w:rPr>
        <w:t>.</w:t>
      </w:r>
    </w:p>
    <w:p w14:paraId="1550B197" w14:textId="77777777" w:rsidR="001D1397" w:rsidRDefault="001D1397">
      <w:pPr>
        <w:rPr>
          <w:sz w:val="20"/>
          <w:szCs w:val="20"/>
        </w:rPr>
      </w:pPr>
    </w:p>
    <w:p w14:paraId="161B2CC6" w14:textId="74BEDA2A" w:rsidR="001D1397" w:rsidRPr="0047102E" w:rsidRDefault="0047102E" w:rsidP="0047102E">
      <w:pPr>
        <w:pStyle w:val="Heading2"/>
        <w:spacing w:before="0" w:after="0"/>
        <w:rPr>
          <w:sz w:val="26"/>
          <w:szCs w:val="26"/>
        </w:rPr>
      </w:pPr>
      <w:r w:rsidRPr="0047102E">
        <w:rPr>
          <w:sz w:val="26"/>
          <w:szCs w:val="26"/>
        </w:rPr>
        <w:t xml:space="preserve">Kolmogorov’s Criterion and </w:t>
      </w:r>
      <w:r w:rsidR="00063DD3" w:rsidRPr="0047102E">
        <w:rPr>
          <w:sz w:val="26"/>
          <w:szCs w:val="26"/>
        </w:rPr>
        <w:t xml:space="preserve">Discrete Time Markov Chains </w:t>
      </w:r>
    </w:p>
    <w:p w14:paraId="0F38AC09" w14:textId="77777777" w:rsidR="0047102E" w:rsidRDefault="0047102E">
      <w:pPr>
        <w:rPr>
          <w:sz w:val="20"/>
          <w:szCs w:val="20"/>
        </w:rPr>
      </w:pPr>
    </w:p>
    <w:p w14:paraId="24DA09CD" w14:textId="77777777" w:rsidR="0047102E" w:rsidRDefault="0047102E">
      <w:pPr>
        <w:rPr>
          <w:sz w:val="20"/>
          <w:szCs w:val="20"/>
        </w:rPr>
      </w:pPr>
    </w:p>
    <w:p w14:paraId="1C437FCD" w14:textId="77777777" w:rsidR="0047102E" w:rsidRDefault="0047102E">
      <w:pPr>
        <w:rPr>
          <w:sz w:val="20"/>
          <w:szCs w:val="20"/>
        </w:rPr>
      </w:pPr>
    </w:p>
    <w:p w14:paraId="1EAA94DE" w14:textId="49E5F0B8" w:rsidR="00CA138C" w:rsidRDefault="00D033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834B097" w14:textId="77777777" w:rsidR="0063001D" w:rsidRDefault="0063001D">
      <w:pPr>
        <w:rPr>
          <w:sz w:val="20"/>
          <w:szCs w:val="20"/>
        </w:rPr>
      </w:pPr>
    </w:p>
    <w:p w14:paraId="53820BC2" w14:textId="77777777" w:rsidR="00245420" w:rsidRDefault="00245420">
      <w:pPr>
        <w:rPr>
          <w:sz w:val="20"/>
          <w:szCs w:val="20"/>
        </w:rPr>
      </w:pPr>
    </w:p>
    <w:p w14:paraId="7A19B9A8" w14:textId="65C01679" w:rsidR="00245420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References</w:t>
      </w:r>
    </w:p>
    <w:p w14:paraId="0937A37C" w14:textId="7BBDFEB9" w:rsidR="00E10C45" w:rsidRPr="00E10C45" w:rsidRDefault="00E10C45" w:rsidP="00E10C45">
      <w:pPr>
        <w:rPr>
          <w:sz w:val="20"/>
          <w:szCs w:val="20"/>
        </w:rPr>
      </w:pPr>
      <w:hyperlink r:id="rId4" w:history="1">
        <w:r w:rsidRPr="00E10C45">
          <w:rPr>
            <w:rStyle w:val="Hyperlink"/>
            <w:sz w:val="20"/>
            <w:szCs w:val="20"/>
          </w:rPr>
          <w:t>The Output of a Queuing System, Paul J. Burke, Operations Research, Vol. 4, No. 6, 1956</w:t>
        </w:r>
      </w:hyperlink>
    </w:p>
    <w:p w14:paraId="11011459" w14:textId="46EA8C6B" w:rsidR="002B61E3" w:rsidRDefault="002B61E3" w:rsidP="002B61E3">
      <w:pPr>
        <w:rPr>
          <w:sz w:val="20"/>
          <w:szCs w:val="20"/>
        </w:rPr>
      </w:pPr>
      <w:hyperlink r:id="rId5" w:history="1">
        <w:r w:rsidRPr="002B61E3">
          <w:rPr>
            <w:rStyle w:val="Hyperlink"/>
            <w:sz w:val="20"/>
            <w:szCs w:val="20"/>
          </w:rPr>
          <w:t>Brownian Motion and Stochastic Flow Systems, J. Michael Harrison, Stanford, 1985</w:t>
        </w:r>
      </w:hyperlink>
    </w:p>
    <w:p w14:paraId="6B919DB4" w14:textId="77777777" w:rsidR="002B61E3" w:rsidRPr="002B61E3" w:rsidRDefault="002B61E3" w:rsidP="002B61E3">
      <w:pPr>
        <w:rPr>
          <w:sz w:val="20"/>
          <w:szCs w:val="20"/>
        </w:rPr>
      </w:pPr>
    </w:p>
    <w:p w14:paraId="2E576721" w14:textId="77777777" w:rsidR="002B61E3" w:rsidRDefault="002B61E3">
      <w:pPr>
        <w:rPr>
          <w:sz w:val="20"/>
          <w:szCs w:val="20"/>
        </w:rPr>
      </w:pPr>
    </w:p>
    <w:p w14:paraId="2F6CD9E0" w14:textId="77777777" w:rsidR="002B61E3" w:rsidRPr="00245420" w:rsidRDefault="002B61E3">
      <w:pPr>
        <w:rPr>
          <w:sz w:val="20"/>
          <w:szCs w:val="20"/>
        </w:rPr>
      </w:pPr>
    </w:p>
    <w:sectPr w:rsidR="002B61E3" w:rsidRPr="0024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20"/>
    <w:rsid w:val="00063DD3"/>
    <w:rsid w:val="00066B4D"/>
    <w:rsid w:val="001D1397"/>
    <w:rsid w:val="002165D1"/>
    <w:rsid w:val="00245420"/>
    <w:rsid w:val="002B61E3"/>
    <w:rsid w:val="00375C0A"/>
    <w:rsid w:val="0047102E"/>
    <w:rsid w:val="00503FD8"/>
    <w:rsid w:val="0063001D"/>
    <w:rsid w:val="009B3CD0"/>
    <w:rsid w:val="00CA138C"/>
    <w:rsid w:val="00D03326"/>
    <w:rsid w:val="00E1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2A20"/>
  <w15:chartTrackingRefBased/>
  <w15:docId w15:val="{1D4EBDB5-BC4C-CD45-A301-18A0CC71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1E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65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queueing_theory/blob/main/literature/books/Brownian_Motion_and_Stochastic_Flow_Systems_Harrison_1985.pdf" TargetMode="External"/><Relationship Id="rId4" Type="http://schemas.openxmlformats.org/officeDocument/2006/relationships/hyperlink" Target="https://github.com/dimitarpg13/queueing_theory/blob/main/literature/articles/Burkes_theorem/The_Output_of_Queueing_System_Burke_195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2024-04-21T18:31:00Z</dcterms:created>
  <dcterms:modified xsi:type="dcterms:W3CDTF">2024-04-21T22:38:00Z</dcterms:modified>
</cp:coreProperties>
</file>