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ED595" w14:textId="019F0E15" w:rsidR="0053777D" w:rsidRDefault="0011413B" w:rsidP="0011413B">
      <w:pPr>
        <w:pStyle w:val="Title"/>
      </w:pPr>
      <w:r>
        <w:t xml:space="preserve">Notes on </w:t>
      </w:r>
      <w:r w:rsidR="006D1B8F">
        <w:t>Q-Learning</w:t>
      </w:r>
    </w:p>
    <w:p w14:paraId="6F2F7141" w14:textId="32C5E020" w:rsidR="0011413B" w:rsidRDefault="0011413B">
      <w:r>
        <w:t>compiled by D.Gueorguiev, 2/9/2026</w:t>
      </w:r>
    </w:p>
    <w:p w14:paraId="201376D0" w14:textId="77777777" w:rsidR="0011413B" w:rsidRDefault="0011413B"/>
    <w:p w14:paraId="7E55B935" w14:textId="0C3C9DEF" w:rsidR="003D66CE" w:rsidRDefault="003D66CE" w:rsidP="003D66CE">
      <w:pPr>
        <w:pStyle w:val="Heading1"/>
      </w:pPr>
      <w:r>
        <w:t>Temporal-Difference Learning</w:t>
      </w:r>
    </w:p>
    <w:p w14:paraId="2D5D99D2" w14:textId="77777777" w:rsidR="003D66CE" w:rsidRDefault="003D66CE"/>
    <w:p w14:paraId="69AD9DFE" w14:textId="5448C656" w:rsidR="003D66CE" w:rsidRDefault="003D66CE">
      <w:r>
        <w:t xml:space="preserve">In order to understand Q-learning we will need to get familiar with Temporal-Difference (TD) Learning. </w:t>
      </w:r>
    </w:p>
    <w:p w14:paraId="69109C0C" w14:textId="21527DA7" w:rsidR="003D66CE" w:rsidRDefault="00D373B0">
      <w:r>
        <w:t xml:space="preserve">TD Learning is a combination of Monte Carlo (MC) ideas and dynamic programming (DP) ideas. </w:t>
      </w:r>
    </w:p>
    <w:p w14:paraId="74E94F33" w14:textId="408560CE" w:rsidR="003D66CE" w:rsidRDefault="00D373B0">
      <w:r>
        <w:t xml:space="preserve">Like MC methods, TD methods can learn directly from raw experience with a model of the environment’s </w:t>
      </w:r>
      <w:proofErr w:type="spellStart"/>
      <w:r>
        <w:t>dynamcis</w:t>
      </w:r>
      <w:proofErr w:type="spellEnd"/>
      <w:r>
        <w:t>. Like DP, TD methods update estimates based in part on other learned estimates, without waiting for a final outcome (they bootstrap).</w:t>
      </w:r>
    </w:p>
    <w:p w14:paraId="3783BB6F" w14:textId="5DB9DC98" w:rsidR="00D373B0" w:rsidRDefault="00D373B0">
      <w:r>
        <w:t>The problems relevant to TD learning methods are :</w:t>
      </w:r>
    </w:p>
    <w:p w14:paraId="337F8747" w14:textId="77777777" w:rsidR="00D373B0" w:rsidRDefault="00D373B0"/>
    <w:p w14:paraId="3BDF995B" w14:textId="5F2640EB" w:rsidR="00D373B0" w:rsidRDefault="00D373B0" w:rsidP="00D373B0">
      <w:pPr>
        <w:pStyle w:val="ListParagraph"/>
        <w:numPr>
          <w:ilvl w:val="0"/>
          <w:numId w:val="1"/>
        </w:numPr>
      </w:pPr>
      <w:r>
        <w:t xml:space="preserve">The </w:t>
      </w:r>
      <w:r w:rsidRPr="00D373B0">
        <w:rPr>
          <w:b/>
          <w:bCs/>
          <w:i/>
          <w:iCs/>
        </w:rPr>
        <w:t>prediction problem</w:t>
      </w:r>
      <w:r>
        <w:t xml:space="preserve">: policy evaluation technique of estimating the value function </w:t>
      </w:r>
      <m:oMath>
        <m:sSub>
          <m:sSubPr>
            <m:ctrlPr>
              <w:rPr>
                <w:rFonts w:ascii="Cambria Math" w:hAnsi="Cambria Math"/>
                <w:i/>
              </w:rPr>
            </m:ctrlPr>
          </m:sSubPr>
          <m:e>
            <m:r>
              <w:rPr>
                <w:rFonts w:ascii="Cambria Math" w:hAnsi="Cambria Math"/>
              </w:rPr>
              <m:t>v</m:t>
            </m:r>
          </m:e>
          <m:sub>
            <m:r>
              <w:rPr>
                <w:rFonts w:ascii="Cambria Math" w:hAnsi="Cambria Math"/>
              </w:rPr>
              <m:t>π</m:t>
            </m:r>
          </m:sub>
        </m:sSub>
      </m:oMath>
      <w:r>
        <w:t xml:space="preserve"> for a given policy </w:t>
      </w:r>
      <m:oMath>
        <m:r>
          <w:rPr>
            <w:rFonts w:ascii="Cambria Math" w:hAnsi="Cambria Math"/>
          </w:rPr>
          <m:t>π</m:t>
        </m:r>
      </m:oMath>
      <w:r>
        <w:t>.</w:t>
      </w:r>
    </w:p>
    <w:p w14:paraId="36082D5C" w14:textId="77777777" w:rsidR="00D373B0" w:rsidRDefault="00D373B0"/>
    <w:p w14:paraId="6DE8870C" w14:textId="6D40D751" w:rsidR="00D373B0" w:rsidRPr="00D373B0" w:rsidRDefault="00D373B0" w:rsidP="00D373B0">
      <w:pPr>
        <w:pStyle w:val="ListParagraph"/>
        <w:numPr>
          <w:ilvl w:val="0"/>
          <w:numId w:val="1"/>
        </w:numPr>
      </w:pPr>
      <w:r>
        <w:t xml:space="preserve">The </w:t>
      </w:r>
      <w:r w:rsidRPr="00D373B0">
        <w:rPr>
          <w:b/>
          <w:bCs/>
          <w:i/>
          <w:iCs/>
        </w:rPr>
        <w:t>control problem</w:t>
      </w:r>
      <w:r>
        <w:t xml:space="preserve">: finding the optimal policy </w:t>
      </w:r>
      <m:oMath>
        <m:sSub>
          <m:sSubPr>
            <m:ctrlPr>
              <w:rPr>
                <w:rFonts w:ascii="Cambria Math" w:hAnsi="Cambria Math"/>
                <w:i/>
              </w:rPr>
            </m:ctrlPr>
          </m:sSubPr>
          <m:e>
            <m:r>
              <w:rPr>
                <w:rFonts w:ascii="Cambria Math" w:hAnsi="Cambria Math"/>
              </w:rPr>
              <m:t>π</m:t>
            </m:r>
          </m:e>
          <m:sub>
            <m:r>
              <w:rPr>
                <w:rFonts w:ascii="Cambria Math" w:hAnsi="Cambria Math"/>
              </w:rPr>
              <m:t>opt</m:t>
            </m:r>
          </m:sub>
        </m:sSub>
      </m:oMath>
      <w:r>
        <w:rPr>
          <w:rFonts w:eastAsiaTheme="minorEastAsia"/>
        </w:rPr>
        <w:t>.</w:t>
      </w:r>
    </w:p>
    <w:p w14:paraId="26911F74" w14:textId="77777777" w:rsidR="00D373B0" w:rsidRDefault="00D373B0" w:rsidP="00D373B0">
      <w:pPr>
        <w:pStyle w:val="ListParagraph"/>
      </w:pPr>
    </w:p>
    <w:p w14:paraId="3C1FAF34" w14:textId="40FCD7AE" w:rsidR="00D373B0" w:rsidRDefault="00D373B0" w:rsidP="00D373B0">
      <w:r>
        <w:t xml:space="preserve">For the control problem DP, TD and MC methods all use some variation of the generalized policy iteration (GPI). The differences in the methods are primarily differences in their approaches to the prediction problem. For details on the prediction problem see Appendix </w:t>
      </w:r>
      <w:r w:rsidRPr="00D373B0">
        <w:rPr>
          <w:i/>
          <w:iCs/>
        </w:rPr>
        <w:fldChar w:fldCharType="begin"/>
      </w:r>
      <w:r w:rsidRPr="00D373B0">
        <w:rPr>
          <w:i/>
          <w:iCs/>
        </w:rPr>
        <w:instrText xml:space="preserve"> REF _Ref221505562 \h </w:instrText>
      </w:r>
      <w:r w:rsidRPr="00D373B0">
        <w:rPr>
          <w:i/>
          <w:iCs/>
        </w:rPr>
      </w:r>
      <w:r>
        <w:rPr>
          <w:i/>
          <w:iCs/>
        </w:rPr>
        <w:instrText xml:space="preserve"> \* MERGEFORMAT </w:instrText>
      </w:r>
      <w:r w:rsidRPr="00D373B0">
        <w:rPr>
          <w:i/>
          <w:iCs/>
        </w:rPr>
        <w:fldChar w:fldCharType="separate"/>
      </w:r>
      <w:r w:rsidRPr="00D373B0">
        <w:rPr>
          <w:i/>
          <w:iCs/>
        </w:rPr>
        <w:t>Policy Evaluation (Prediction)</w:t>
      </w:r>
      <w:r w:rsidRPr="00D373B0">
        <w:rPr>
          <w:i/>
          <w:iCs/>
        </w:rPr>
        <w:fldChar w:fldCharType="end"/>
      </w:r>
      <w:r>
        <w:t>.</w:t>
      </w:r>
    </w:p>
    <w:p w14:paraId="32157746" w14:textId="77777777" w:rsidR="00D373B0" w:rsidRDefault="00D373B0"/>
    <w:p w14:paraId="184F4E56" w14:textId="4D23D313" w:rsidR="0011413B" w:rsidRDefault="003D66CE" w:rsidP="003D66CE">
      <w:pPr>
        <w:pStyle w:val="Heading1"/>
      </w:pPr>
      <w:r>
        <w:t>References</w:t>
      </w:r>
    </w:p>
    <w:p w14:paraId="00C71EE5" w14:textId="4891E3F0" w:rsidR="003D66CE" w:rsidRPr="003D66CE" w:rsidRDefault="003D66CE" w:rsidP="003D66CE">
      <w:pPr>
        <w:pStyle w:val="Bibliography"/>
        <w:ind w:left="720" w:hanging="720"/>
        <w:rPr>
          <w:noProof/>
          <w:sz w:val="20"/>
          <w:szCs w:val="20"/>
        </w:rPr>
      </w:pPr>
      <w:r w:rsidRPr="003D66CE">
        <w:rPr>
          <w:sz w:val="20"/>
          <w:szCs w:val="20"/>
        </w:rPr>
        <w:t xml:space="preserve">[1] </w:t>
      </w:r>
      <w:hyperlink r:id="rId8" w:history="1">
        <w:r w:rsidRPr="00725427">
          <w:rPr>
            <w:rStyle w:val="Hyperlink"/>
            <w:noProof/>
            <w:sz w:val="20"/>
            <w:szCs w:val="20"/>
          </w:rPr>
          <w:t xml:space="preserve">Sutton, R. S., &amp; Barto, A. G. (2018). </w:t>
        </w:r>
        <w:r w:rsidRPr="00725427">
          <w:rPr>
            <w:rStyle w:val="Hyperlink"/>
            <w:i/>
            <w:iCs/>
            <w:noProof/>
            <w:sz w:val="20"/>
            <w:szCs w:val="20"/>
          </w:rPr>
          <w:t>Reinforcement Learning: Introduction, second edition.</w:t>
        </w:r>
        <w:r w:rsidRPr="00725427">
          <w:rPr>
            <w:rStyle w:val="Hyperlink"/>
            <w:noProof/>
            <w:sz w:val="20"/>
            <w:szCs w:val="20"/>
          </w:rPr>
          <w:t xml:space="preserve"> Cambridge, Massachusetts: The MIT Press.</w:t>
        </w:r>
      </w:hyperlink>
    </w:p>
    <w:p w14:paraId="3797C405" w14:textId="71F8D935" w:rsidR="003D66CE" w:rsidRDefault="003D66CE"/>
    <w:p w14:paraId="0F0CB99D" w14:textId="6D2EC3C4" w:rsidR="003D66CE" w:rsidRDefault="003D66CE">
      <w:r>
        <w:t xml:space="preserve">[2] </w:t>
      </w:r>
      <w:hyperlink r:id="rId9" w:history="1">
        <w:r w:rsidRPr="00725427">
          <w:rPr>
            <w:rStyle w:val="Hyperlink"/>
          </w:rPr>
          <w:t>Q-Learning , Wikipedia</w:t>
        </w:r>
      </w:hyperlink>
    </w:p>
    <w:p w14:paraId="0051CE1C" w14:textId="77777777" w:rsidR="009D4EC4" w:rsidRDefault="009D4EC4"/>
    <w:p w14:paraId="49D3FE43" w14:textId="50A222F0" w:rsidR="009D4EC4" w:rsidRDefault="009D4EC4">
      <w:r>
        <w:t xml:space="preserve">[3] </w:t>
      </w:r>
      <w:hyperlink r:id="rId10" w:history="1">
        <w:r w:rsidRPr="009D4EC4">
          <w:rPr>
            <w:rStyle w:val="Hyperlink"/>
          </w:rPr>
          <w:t>Note on Q functions in Reinforcement Learning, D. Gueorguiev</w:t>
        </w:r>
        <w:r w:rsidRPr="009D4EC4">
          <w:rPr>
            <w:rStyle w:val="Hyperlink"/>
            <w:i/>
            <w:iCs/>
            <w:sz w:val="20"/>
            <w:szCs w:val="20"/>
          </w:rPr>
          <w:t xml:space="preserve">, </w:t>
        </w:r>
        <w:r w:rsidRPr="009D4EC4">
          <w:rPr>
            <w:rStyle w:val="Hyperlink"/>
            <w:sz w:val="20"/>
            <w:szCs w:val="20"/>
          </w:rPr>
          <w:t>Nov 26, 2023</w:t>
        </w:r>
      </w:hyperlink>
    </w:p>
    <w:p w14:paraId="5E757E76" w14:textId="77777777" w:rsidR="00D373B0" w:rsidRDefault="00D373B0"/>
    <w:p w14:paraId="01E29F70" w14:textId="2535D623" w:rsidR="00B55EA5" w:rsidRDefault="00B55EA5">
      <w:r>
        <w:t xml:space="preserve">[4] </w:t>
      </w:r>
      <w:hyperlink r:id="rId11" w:history="1">
        <w:r w:rsidRPr="00B55EA5">
          <w:rPr>
            <w:rStyle w:val="Hyperlink"/>
          </w:rPr>
          <w:t>Examples using Policy and Value Functions, D. Gueorguiev, Jan 1, 2024</w:t>
        </w:r>
      </w:hyperlink>
    </w:p>
    <w:p w14:paraId="2062AD72" w14:textId="77777777" w:rsidR="00B55EA5" w:rsidRDefault="00B55EA5"/>
    <w:p w14:paraId="6BECA6E6" w14:textId="7F143488" w:rsidR="00D373B0" w:rsidRDefault="00D373B0" w:rsidP="00D373B0">
      <w:pPr>
        <w:pStyle w:val="Heading1"/>
      </w:pPr>
      <w:r>
        <w:t>Appendix</w:t>
      </w:r>
    </w:p>
    <w:p w14:paraId="666A14BF" w14:textId="77777777" w:rsidR="00D373B0" w:rsidRDefault="00D373B0"/>
    <w:p w14:paraId="4A68E65E" w14:textId="3C58C961" w:rsidR="00D373B0" w:rsidRDefault="00D373B0" w:rsidP="00D373B0">
      <w:pPr>
        <w:pStyle w:val="Heading2"/>
      </w:pPr>
      <w:bookmarkStart w:id="0" w:name="_Ref221505562"/>
      <w:r>
        <w:t>Policy Evaluation (Prediction)</w:t>
      </w:r>
      <w:bookmarkEnd w:id="0"/>
    </w:p>
    <w:p w14:paraId="66C1BC1D" w14:textId="77777777" w:rsidR="00D373B0" w:rsidRDefault="00D373B0"/>
    <w:p w14:paraId="78DFACD6" w14:textId="20F4A945" w:rsidR="00D373B0" w:rsidRDefault="00D373B0">
      <w:r>
        <w:t xml:space="preserve">The </w:t>
      </w:r>
      <w:r w:rsidRPr="0039538C">
        <w:rPr>
          <w:i/>
          <w:iCs/>
        </w:rPr>
        <w:t>prediction problem</w:t>
      </w:r>
      <w:r w:rsidR="0039538C">
        <w:t xml:space="preserve"> –</w:t>
      </w:r>
    </w:p>
    <w:p w14:paraId="31640278" w14:textId="1DA84535" w:rsidR="0039538C" w:rsidRDefault="0039538C">
      <w:pPr>
        <w:rPr>
          <w:rFonts w:eastAsiaTheme="minorEastAsia"/>
        </w:rPr>
      </w:pPr>
      <w:r>
        <w:t xml:space="preserve">  The problem of computing the state-value function </w:t>
      </w:r>
      <m:oMath>
        <m:sSub>
          <m:sSubPr>
            <m:ctrlPr>
              <w:rPr>
                <w:rFonts w:ascii="Cambria Math" w:hAnsi="Cambria Math"/>
                <w:i/>
              </w:rPr>
            </m:ctrlPr>
          </m:sSubPr>
          <m:e>
            <m:r>
              <w:rPr>
                <w:rFonts w:ascii="Cambria Math" w:hAnsi="Cambria Math"/>
              </w:rPr>
              <m:t>v</m:t>
            </m:r>
          </m:e>
          <m:sub>
            <m:r>
              <w:rPr>
                <w:rFonts w:ascii="Cambria Math" w:hAnsi="Cambria Math"/>
              </w:rPr>
              <m:t>π</m:t>
            </m:r>
          </m:sub>
        </m:sSub>
      </m:oMath>
      <w:r>
        <w:rPr>
          <w:rFonts w:eastAsiaTheme="minorEastAsia"/>
        </w:rPr>
        <w:t xml:space="preserve"> for an arbitrary policy </w:t>
      </w:r>
      <m:oMath>
        <m:r>
          <w:rPr>
            <w:rFonts w:ascii="Cambria Math" w:hAnsi="Cambria Math"/>
          </w:rPr>
          <m:t>π</m:t>
        </m:r>
      </m:oMath>
      <w:r>
        <w:rPr>
          <w:rFonts w:eastAsiaTheme="minorEastAsia"/>
        </w:rPr>
        <w:t xml:space="preserve">. This problem is also known as </w:t>
      </w:r>
      <w:r w:rsidRPr="0039538C">
        <w:rPr>
          <w:rFonts w:eastAsiaTheme="minorEastAsia"/>
          <w:i/>
          <w:iCs/>
        </w:rPr>
        <w:t>policy evaluation</w:t>
      </w:r>
      <w:r>
        <w:rPr>
          <w:rFonts w:eastAsiaTheme="minorEastAsia"/>
        </w:rPr>
        <w:t xml:space="preserve"> in the DP literature. </w:t>
      </w:r>
    </w:p>
    <w:p w14:paraId="78A17BAE" w14:textId="77777777" w:rsidR="00B04C7A" w:rsidRDefault="00B04C7A">
      <w:pPr>
        <w:rPr>
          <w:rFonts w:eastAsiaTheme="minorEastAsia"/>
        </w:rPr>
      </w:pPr>
    </w:p>
    <w:p w14:paraId="778B5BE8" w14:textId="73B6C65B" w:rsidR="00B04C7A" w:rsidRDefault="00B04C7A">
      <w:pPr>
        <w:rPr>
          <w:rFonts w:eastAsiaTheme="minorEastAsia"/>
        </w:rPr>
      </w:pPr>
      <w:r>
        <w:rPr>
          <w:rFonts w:eastAsiaTheme="minorEastAsia"/>
        </w:rPr>
        <w:t xml:space="preserve">Recall (Chapter 3 of [1], see also [3]) that for all </w:t>
      </w:r>
      <m:oMath>
        <m:r>
          <w:rPr>
            <w:rFonts w:ascii="Cambria Math" w:eastAsiaTheme="minorEastAsia" w:hAnsi="Cambria Math"/>
          </w:rPr>
          <m:t>s</m:t>
        </m:r>
        <m:r>
          <m:rPr>
            <m:scr m:val="script"/>
          </m:rPr>
          <w:rPr>
            <w:rFonts w:ascii="Cambria Math" w:eastAsiaTheme="minorEastAsia" w:hAnsi="Cambria Math"/>
          </w:rPr>
          <m:t>∈S</m:t>
        </m:r>
      </m:oMath>
      <w:r>
        <w:rPr>
          <w:rFonts w:eastAsiaTheme="minorEastAsia"/>
        </w:rPr>
        <w:t>,</w:t>
      </w:r>
    </w:p>
    <w:p w14:paraId="6A04E759" w14:textId="77777777" w:rsidR="00B04C7A" w:rsidRDefault="00B04C7A">
      <w:pPr>
        <w:rPr>
          <w:rFonts w:eastAsiaTheme="minorEastAsia"/>
        </w:rPr>
      </w:pPr>
    </w:p>
    <w:p w14:paraId="0DDE845B" w14:textId="3B79A910" w:rsidR="00B04C7A" w:rsidRDefault="00A33E82">
      <w:pPr>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π</m:t>
            </m:r>
          </m:sub>
        </m:sSub>
        <m:d>
          <m:dPr>
            <m:ctrlPr>
              <w:rPr>
                <w:rFonts w:ascii="Cambria Math" w:eastAsiaTheme="minorEastAsia" w:hAnsi="Cambria Math"/>
                <w:i/>
              </w:rPr>
            </m:ctrlPr>
          </m:dPr>
          <m:e>
            <m:r>
              <w:rPr>
                <w:rFonts w:ascii="Cambria Math" w:eastAsiaTheme="minorEastAsia" w:hAnsi="Cambria Math"/>
              </w:rPr>
              <m:t>s</m:t>
            </m:r>
          </m:e>
        </m:d>
        <m:acc>
          <m:accPr>
            <m:chr m:val="̇"/>
            <m:ctrlPr>
              <w:rPr>
                <w:rFonts w:ascii="Cambria Math" w:eastAsiaTheme="minorEastAsia" w:hAnsi="Cambria Math"/>
                <w:i/>
              </w:rPr>
            </m:ctrlPr>
          </m:accPr>
          <m:e>
            <m:r>
              <w:rPr>
                <w:rFonts w:ascii="Cambria Math" w:eastAsiaTheme="minorEastAsia" w:hAnsi="Cambria Math"/>
              </w:rPr>
              <m:t>=</m:t>
            </m:r>
          </m:e>
        </m:acc>
        <m:sSub>
          <m:sSubPr>
            <m:ctrlPr>
              <w:rPr>
                <w:rFonts w:ascii="Cambria Math" w:eastAsiaTheme="minorEastAsia" w:hAnsi="Cambria Math"/>
                <w:i/>
              </w:rPr>
            </m:ctrlPr>
          </m:sSubPr>
          <m:e>
            <m:r>
              <m:rPr>
                <m:scr m:val="double-struck"/>
              </m:rPr>
              <w:rPr>
                <w:rFonts w:ascii="Cambria Math" w:eastAsiaTheme="minorEastAsia" w:hAnsi="Cambria Math"/>
              </w:rPr>
              <m:t>E</m:t>
            </m:r>
          </m:e>
          <m:sub>
            <m:r>
              <w:rPr>
                <w:rFonts w:ascii="Cambria Math" w:eastAsiaTheme="minorEastAsia" w:hAnsi="Cambria Math"/>
              </w:rPr>
              <m:t>π</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r>
              <w:rPr>
                <w:rFonts w:ascii="Cambria Math" w:eastAsiaTheme="minorEastAsia" w:hAnsi="Cambria Math"/>
              </w:rPr>
              <m:t>=s</m:t>
            </m:r>
          </m:e>
        </m:d>
      </m:oMath>
      <w:r>
        <w:rPr>
          <w:rFonts w:eastAsiaTheme="minorEastAsia"/>
        </w:rPr>
        <w:t xml:space="preserve"> </w:t>
      </w:r>
    </w:p>
    <w:p w14:paraId="4D46387F" w14:textId="331774F8" w:rsidR="00A33E82" w:rsidRDefault="00A33E82">
      <w:pPr>
        <w:rPr>
          <w:rFonts w:eastAsiaTheme="minorEastAsia"/>
        </w:rPr>
      </w:pPr>
      <w:r>
        <w:rPr>
          <w:rFonts w:eastAsiaTheme="minorEastAsia"/>
        </w:rPr>
        <w:t xml:space="preserve">             </w:t>
      </w:r>
      <m:oMath>
        <m:r>
          <w:rPr>
            <w:rFonts w:ascii="Cambria Math" w:eastAsiaTheme="minorEastAsia" w:hAnsi="Cambria Math"/>
          </w:rPr>
          <m:t>=</m:t>
        </m:r>
      </m:oMath>
      <w:r>
        <w:rPr>
          <w:rFonts w:eastAsiaTheme="minorEastAsia"/>
        </w:rPr>
        <w:t xml:space="preserve"> </w:t>
      </w:r>
      <m:oMath>
        <m:sSub>
          <m:sSubPr>
            <m:ctrlPr>
              <w:rPr>
                <w:rFonts w:ascii="Cambria Math" w:eastAsiaTheme="minorEastAsia" w:hAnsi="Cambria Math"/>
                <w:i/>
              </w:rPr>
            </m:ctrlPr>
          </m:sSubPr>
          <m:e>
            <m:r>
              <m:rPr>
                <m:scr m:val="double-struck"/>
              </m:rPr>
              <w:rPr>
                <w:rFonts w:ascii="Cambria Math" w:eastAsiaTheme="minorEastAsia" w:hAnsi="Cambria Math"/>
              </w:rPr>
              <m:t>E</m:t>
            </m:r>
          </m:e>
          <m:sub>
            <m:r>
              <w:rPr>
                <w:rFonts w:ascii="Cambria Math" w:eastAsiaTheme="minorEastAsia" w:hAnsi="Cambria Math"/>
              </w:rPr>
              <m:t>π</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r>
                  <w:rPr>
                    <w:rFonts w:ascii="Cambria Math" w:eastAsiaTheme="minorEastAsia" w:hAnsi="Cambria Math"/>
                  </w:rPr>
                  <m:t>+1</m:t>
                </m:r>
              </m:sub>
            </m:sSub>
            <m:r>
              <w:rPr>
                <w:rFonts w:ascii="Cambria Math" w:eastAsiaTheme="minorEastAsia" w:hAnsi="Cambria Math"/>
              </w:rPr>
              <m:t>+γ</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m:t>
                </m:r>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r>
              <w:rPr>
                <w:rFonts w:ascii="Cambria Math" w:eastAsiaTheme="minorEastAsia" w:hAnsi="Cambria Math"/>
              </w:rPr>
              <m:t>=s</m:t>
            </m:r>
          </m:e>
        </m:d>
      </m:oMath>
    </w:p>
    <w:p w14:paraId="62AF3F80" w14:textId="2ACB16B1" w:rsidR="00804B08" w:rsidRDefault="00804B08">
      <w:pPr>
        <w:rPr>
          <w:rFonts w:eastAsiaTheme="minorEastAsia"/>
        </w:rPr>
      </w:pPr>
      <w:r>
        <w:rPr>
          <w:rFonts w:eastAsiaTheme="minorEastAsia"/>
        </w:rPr>
        <w:t xml:space="preserve">             </w:t>
      </w:r>
      <m:oMath>
        <m:r>
          <w:rPr>
            <w:rFonts w:ascii="Cambria Math" w:eastAsiaTheme="minorEastAsia" w:hAnsi="Cambria Math"/>
          </w:rPr>
          <m:t>=</m:t>
        </m:r>
      </m:oMath>
      <w:r>
        <w:rPr>
          <w:rFonts w:eastAsiaTheme="minorEastAsia"/>
        </w:rPr>
        <w:t xml:space="preserve"> </w:t>
      </w:r>
      <m:oMath>
        <m:sSub>
          <m:sSubPr>
            <m:ctrlPr>
              <w:rPr>
                <w:rFonts w:ascii="Cambria Math" w:eastAsiaTheme="minorEastAsia" w:hAnsi="Cambria Math"/>
                <w:i/>
              </w:rPr>
            </m:ctrlPr>
          </m:sSubPr>
          <m:e>
            <m:r>
              <m:rPr>
                <m:scr m:val="double-struck"/>
              </m:rPr>
              <w:rPr>
                <w:rFonts w:ascii="Cambria Math" w:eastAsiaTheme="minorEastAsia" w:hAnsi="Cambria Math"/>
              </w:rPr>
              <m:t>E</m:t>
            </m:r>
          </m:e>
          <m:sub>
            <m:r>
              <w:rPr>
                <w:rFonts w:ascii="Cambria Math" w:eastAsiaTheme="minorEastAsia" w:hAnsi="Cambria Math"/>
              </w:rPr>
              <m:t>π</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t+1</m:t>
                </m:r>
              </m:sub>
            </m:sSub>
            <m:r>
              <w:rPr>
                <w:rFonts w:ascii="Cambria Math" w:eastAsiaTheme="minorEastAsia" w:hAnsi="Cambria Math"/>
              </w:rPr>
              <m:t>+γ</m:t>
            </m:r>
            <m:sSub>
              <m:sSubPr>
                <m:ctrlPr>
                  <w:rPr>
                    <w:rFonts w:ascii="Cambria Math" w:hAnsi="Cambria Math"/>
                    <w:i/>
                  </w:rPr>
                </m:ctrlPr>
              </m:sSubPr>
              <m:e>
                <m:r>
                  <w:rPr>
                    <w:rFonts w:ascii="Cambria Math" w:hAnsi="Cambria Math"/>
                  </w:rPr>
                  <m:t>v</m:t>
                </m:r>
              </m:e>
              <m:sub>
                <m:r>
                  <w:rPr>
                    <w:rFonts w:ascii="Cambria Math" w:hAnsi="Cambria Math"/>
                  </w:rPr>
                  <m:t>π</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r>
              <w:rPr>
                <w:rFonts w:ascii="Cambria Math" w:eastAsiaTheme="minorEastAsia" w:hAnsi="Cambria Math"/>
              </w:rPr>
              <m:t>=s</m:t>
            </m:r>
          </m:e>
        </m:d>
      </m:oMath>
      <w:r>
        <w:rPr>
          <w:rFonts w:eastAsiaTheme="minorEastAsia"/>
        </w:rPr>
        <w:t xml:space="preserve"> </w:t>
      </w:r>
      <w:r w:rsidR="000C0B06">
        <w:rPr>
          <w:rFonts w:eastAsiaTheme="minorEastAsia"/>
        </w:rPr>
        <w:t xml:space="preserve">                              (</w:t>
      </w:r>
      <w:r w:rsidR="00B55EA5">
        <w:rPr>
          <w:rFonts w:eastAsiaTheme="minorEastAsia"/>
        </w:rPr>
        <w:t>pe.</w:t>
      </w:r>
      <w:r w:rsidR="000C0B06">
        <w:rPr>
          <w:rFonts w:eastAsiaTheme="minorEastAsia"/>
        </w:rPr>
        <w:t>1)</w:t>
      </w:r>
    </w:p>
    <w:p w14:paraId="376DDA30" w14:textId="2770C67D" w:rsidR="00804B08" w:rsidRDefault="000C0B06">
      <w:pPr>
        <w:rPr>
          <w:rFonts w:eastAsiaTheme="minorEastAsia"/>
        </w:rPr>
      </w:pPr>
      <w:r>
        <w:rPr>
          <w:rFonts w:eastAsiaTheme="minorEastAsia"/>
        </w:rPr>
        <w:t xml:space="preserve">             </w:t>
      </w:r>
      <m:oMath>
        <m:r>
          <w:rPr>
            <w:rFonts w:ascii="Cambria Math"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a</m:t>
            </m:r>
          </m:sub>
          <m:sup/>
          <m:e>
            <m:r>
              <w:rPr>
                <w:rFonts w:ascii="Cambria Math" w:eastAsiaTheme="minorEastAsia" w:hAnsi="Cambria Math"/>
              </w:rPr>
              <m:t>π</m:t>
            </m:r>
          </m:e>
        </m:nary>
        <m:d>
          <m:dPr>
            <m:ctrlPr>
              <w:rPr>
                <w:rFonts w:ascii="Cambria Math" w:eastAsiaTheme="minorEastAsia" w:hAnsi="Cambria Math"/>
                <w:i/>
              </w:rPr>
            </m:ctrlPr>
          </m:dPr>
          <m:e>
            <m:r>
              <w:rPr>
                <w:rFonts w:ascii="Cambria Math" w:eastAsiaTheme="minorEastAsia" w:hAnsi="Cambria Math"/>
              </w:rPr>
              <m:t>a|s</m:t>
            </m:r>
          </m:e>
        </m:d>
        <m:nary>
          <m:naryPr>
            <m:chr m:val="∑"/>
            <m:limLoc m:val="undOvr"/>
            <m:supHide m:val="1"/>
            <m:ctrlPr>
              <w:rPr>
                <w:rFonts w:ascii="Cambria Math" w:eastAsiaTheme="minorEastAsia" w:hAnsi="Cambria Math"/>
                <w:i/>
              </w:rPr>
            </m:ctrlPr>
          </m:naryPr>
          <m:sub>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r>
              <w:rPr>
                <w:rFonts w:ascii="Cambria Math" w:eastAsiaTheme="minorEastAsia" w:hAnsi="Cambria Math"/>
              </w:rPr>
              <m:t>,r</m:t>
            </m:r>
          </m:sub>
          <m:sup/>
          <m:e>
            <m:r>
              <w:rPr>
                <w:rFonts w:ascii="Cambria Math" w:eastAsiaTheme="minorEastAsia" w:hAnsi="Cambria Math"/>
              </w:rPr>
              <m:t>p</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r>
                  <w:rPr>
                    <w:rFonts w:ascii="Cambria Math" w:eastAsiaTheme="minorEastAsia" w:hAnsi="Cambria Math"/>
                  </w:rPr>
                  <m:t>,r|s,a</m:t>
                </m:r>
              </m:e>
            </m:d>
          </m:e>
        </m:nary>
        <m:d>
          <m:dPr>
            <m:begChr m:val="["/>
            <m:endChr m:val="]"/>
            <m:ctrlPr>
              <w:rPr>
                <w:rFonts w:ascii="Cambria Math" w:eastAsiaTheme="minorEastAsia" w:hAnsi="Cambria Math"/>
                <w:i/>
              </w:rPr>
            </m:ctrlPr>
          </m:dPr>
          <m:e>
            <m:r>
              <w:rPr>
                <w:rFonts w:ascii="Cambria Math" w:eastAsiaTheme="minorEastAsia" w:hAnsi="Cambria Math"/>
              </w:rPr>
              <m:t>r+γ</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π</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e>
            </m:d>
          </m:e>
        </m:d>
      </m:oMath>
      <w:r>
        <w:rPr>
          <w:rFonts w:eastAsiaTheme="minorEastAsia"/>
        </w:rPr>
        <w:t xml:space="preserve">      (</w:t>
      </w:r>
      <w:r w:rsidR="00B55EA5">
        <w:rPr>
          <w:rFonts w:eastAsiaTheme="minorEastAsia"/>
        </w:rPr>
        <w:t>pe</w:t>
      </w:r>
      <w:r>
        <w:rPr>
          <w:rFonts w:eastAsiaTheme="minorEastAsia"/>
        </w:rPr>
        <w:t>.2)</w:t>
      </w:r>
    </w:p>
    <w:p w14:paraId="4990CA81" w14:textId="77777777" w:rsidR="000C0B06" w:rsidRDefault="000C0B06">
      <w:pPr>
        <w:rPr>
          <w:rFonts w:eastAsiaTheme="minorEastAsia"/>
        </w:rPr>
      </w:pPr>
    </w:p>
    <w:p w14:paraId="6BADD782" w14:textId="77777777" w:rsidR="00B55EA5" w:rsidRDefault="00B55EA5">
      <w:pPr>
        <w:rPr>
          <w:rFonts w:eastAsiaTheme="minorEastAsia"/>
        </w:rPr>
      </w:pPr>
      <w:r>
        <w:rPr>
          <w:rFonts w:eastAsiaTheme="minorEastAsia"/>
        </w:rPr>
        <w:lastRenderedPageBreak/>
        <w:t xml:space="preserve">Here </w:t>
      </w:r>
      <m:oMath>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a|s</m:t>
            </m:r>
          </m:e>
        </m:d>
      </m:oMath>
      <w:r>
        <w:rPr>
          <w:rFonts w:eastAsiaTheme="minorEastAsia"/>
        </w:rPr>
        <w:t xml:space="preserve"> is the probability of taking action </w:t>
      </w:r>
      <m:oMath>
        <m:r>
          <w:rPr>
            <w:rFonts w:ascii="Cambria Math" w:eastAsiaTheme="minorEastAsia" w:hAnsi="Cambria Math"/>
          </w:rPr>
          <m:t>a</m:t>
        </m:r>
      </m:oMath>
      <w:r>
        <w:rPr>
          <w:rFonts w:eastAsiaTheme="minorEastAsia"/>
        </w:rPr>
        <w:t xml:space="preserve"> in state </w:t>
      </w:r>
      <m:oMath>
        <m:r>
          <w:rPr>
            <w:rFonts w:ascii="Cambria Math" w:eastAsiaTheme="minorEastAsia" w:hAnsi="Cambria Math"/>
          </w:rPr>
          <m:t>s</m:t>
        </m:r>
      </m:oMath>
      <w:r>
        <w:rPr>
          <w:rFonts w:eastAsiaTheme="minorEastAsia"/>
        </w:rPr>
        <w:t xml:space="preserve"> under policy </w:t>
      </w:r>
      <m:oMath>
        <m:r>
          <w:rPr>
            <w:rFonts w:ascii="Cambria Math" w:eastAsiaTheme="minorEastAsia" w:hAnsi="Cambria Math"/>
          </w:rPr>
          <m:t>π</m:t>
        </m:r>
      </m:oMath>
      <w:r>
        <w:rPr>
          <w:rFonts w:eastAsiaTheme="minorEastAsia"/>
        </w:rPr>
        <w:t xml:space="preserve">. </w:t>
      </w:r>
    </w:p>
    <w:p w14:paraId="1971C718" w14:textId="29917A7F" w:rsidR="000C0B06" w:rsidRDefault="00B55EA5">
      <w:pPr>
        <w:rPr>
          <w:rFonts w:eastAsiaTheme="minorEastAsia"/>
        </w:rPr>
      </w:pPr>
      <w:r>
        <w:rPr>
          <w:rFonts w:eastAsiaTheme="minorEastAsia"/>
        </w:rPr>
        <w:t xml:space="preserve">The existence and uniqueness of </w:t>
      </w:r>
      <m:oMath>
        <m:sSub>
          <m:sSubPr>
            <m:ctrlPr>
              <w:rPr>
                <w:rFonts w:ascii="Cambria Math" w:hAnsi="Cambria Math"/>
                <w:i/>
              </w:rPr>
            </m:ctrlPr>
          </m:sSubPr>
          <m:e>
            <m:r>
              <w:rPr>
                <w:rFonts w:ascii="Cambria Math" w:hAnsi="Cambria Math"/>
              </w:rPr>
              <m:t>v</m:t>
            </m:r>
          </m:e>
          <m:sub>
            <m:r>
              <w:rPr>
                <w:rFonts w:ascii="Cambria Math" w:hAnsi="Cambria Math"/>
              </w:rPr>
              <m:t>π</m:t>
            </m:r>
          </m:sub>
        </m:sSub>
      </m:oMath>
      <w:r>
        <w:rPr>
          <w:rFonts w:eastAsiaTheme="minorEastAsia"/>
        </w:rPr>
        <w:t xml:space="preserve"> are guaranteed as long as either </w:t>
      </w:r>
      <m:oMath>
        <m:r>
          <w:rPr>
            <w:rFonts w:ascii="Cambria Math" w:eastAsiaTheme="minorEastAsia" w:hAnsi="Cambria Math"/>
          </w:rPr>
          <m:t>γ</m:t>
        </m:r>
        <m:r>
          <w:rPr>
            <w:rFonts w:ascii="Cambria Math" w:eastAsiaTheme="minorEastAsia" w:hAnsi="Cambria Math"/>
          </w:rPr>
          <m:t>&lt;1</m:t>
        </m:r>
      </m:oMath>
      <w:r>
        <w:rPr>
          <w:rFonts w:eastAsiaTheme="minorEastAsia"/>
        </w:rPr>
        <w:t xml:space="preserve"> or eventual termination is guaranteed from all states under the policy </w:t>
      </w:r>
      <m:oMath>
        <m:r>
          <w:rPr>
            <w:rFonts w:ascii="Cambria Math" w:hAnsi="Cambria Math"/>
          </w:rPr>
          <m:t>π</m:t>
        </m:r>
      </m:oMath>
      <w:r>
        <w:rPr>
          <w:rFonts w:eastAsiaTheme="minorEastAsia"/>
        </w:rPr>
        <w:t>. If the environment</w:t>
      </w:r>
      <w:r w:rsidRPr="00B55EA5">
        <w:rPr>
          <w:rFonts w:eastAsiaTheme="minorEastAsia"/>
        </w:rPr>
        <w:t>’s dynamic</w:t>
      </w:r>
      <w:r>
        <w:rPr>
          <w:rFonts w:eastAsiaTheme="minorEastAsia"/>
        </w:rPr>
        <w:t xml:space="preserve">s are completely known (in this case state transition probabilities </w:t>
      </w:r>
      <m:oMath>
        <m:r>
          <w:rPr>
            <w:rFonts w:ascii="Cambria Math" w:eastAsiaTheme="minorEastAsia" w:hAnsi="Cambria Math"/>
          </w:rPr>
          <m:t>p</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r>
              <w:rPr>
                <w:rFonts w:ascii="Cambria Math" w:eastAsiaTheme="minorEastAsia" w:hAnsi="Cambria Math"/>
              </w:rPr>
              <m:t>,r|s,a</m:t>
            </m:r>
          </m:e>
        </m:d>
      </m:oMath>
      <w:r>
        <w:rPr>
          <w:rFonts w:eastAsiaTheme="minorEastAsia"/>
        </w:rPr>
        <w:t xml:space="preserve"> and the probability of taking action </w:t>
      </w:r>
      <m:oMath>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a|s</m:t>
            </m:r>
          </m:e>
        </m:d>
      </m:oMath>
      <w:r>
        <w:rPr>
          <w:rFonts w:eastAsiaTheme="minorEastAsia"/>
        </w:rPr>
        <w:t xml:space="preserve"> under policy </w:t>
      </w:r>
      <m:oMath>
        <m:r>
          <w:rPr>
            <w:rFonts w:ascii="Cambria Math" w:eastAsiaTheme="minorEastAsia" w:hAnsi="Cambria Math"/>
          </w:rPr>
          <m:t>π</m:t>
        </m:r>
      </m:oMath>
      <w:r>
        <w:rPr>
          <w:rFonts w:eastAsiaTheme="minorEastAsia"/>
        </w:rPr>
        <w:t xml:space="preserve">), then (pe.2) is a system of </w:t>
      </w:r>
      <m:oMath>
        <m:d>
          <m:dPr>
            <m:begChr m:val="|"/>
            <m:endChr m:val="|"/>
            <m:ctrlPr>
              <w:rPr>
                <w:rFonts w:ascii="Cambria Math" w:eastAsiaTheme="minorEastAsia" w:hAnsi="Cambria Math"/>
                <w:i/>
              </w:rPr>
            </m:ctrlPr>
          </m:dPr>
          <m:e>
            <m:r>
              <m:rPr>
                <m:scr m:val="script"/>
              </m:rPr>
              <w:rPr>
                <w:rFonts w:ascii="Cambria Math" w:eastAsiaTheme="minorEastAsia" w:hAnsi="Cambria Math"/>
              </w:rPr>
              <m:t>S</m:t>
            </m:r>
          </m:e>
        </m:d>
      </m:oMath>
      <w:r>
        <w:rPr>
          <w:rFonts w:eastAsiaTheme="minorEastAsia"/>
        </w:rPr>
        <w:t xml:space="preserve"> simultaneous linear equations with </w:t>
      </w:r>
      <m:oMath>
        <m:d>
          <m:dPr>
            <m:begChr m:val="|"/>
            <m:endChr m:val="|"/>
            <m:ctrlPr>
              <w:rPr>
                <w:rFonts w:ascii="Cambria Math" w:eastAsiaTheme="minorEastAsia" w:hAnsi="Cambria Math"/>
                <w:i/>
              </w:rPr>
            </m:ctrlPr>
          </m:dPr>
          <m:e>
            <m:r>
              <m:rPr>
                <m:scr m:val="script"/>
              </m:rPr>
              <w:rPr>
                <w:rFonts w:ascii="Cambria Math" w:eastAsiaTheme="minorEastAsia" w:hAnsi="Cambria Math"/>
              </w:rPr>
              <m:t>S</m:t>
            </m:r>
          </m:e>
        </m:d>
      </m:oMath>
      <w:r>
        <w:rPr>
          <w:rFonts w:eastAsiaTheme="minorEastAsia"/>
        </w:rPr>
        <w:t xml:space="preserve"> unknowns which are the </w:t>
      </w:r>
      <m:oMath>
        <m:sSub>
          <m:sSubPr>
            <m:ctrlPr>
              <w:rPr>
                <w:rFonts w:ascii="Cambria Math" w:hAnsi="Cambria Math"/>
                <w:i/>
              </w:rPr>
            </m:ctrlPr>
          </m:sSubPr>
          <m:e>
            <m:r>
              <w:rPr>
                <w:rFonts w:ascii="Cambria Math" w:hAnsi="Cambria Math"/>
              </w:rPr>
              <m:t>v</m:t>
            </m:r>
          </m:e>
          <m:sub>
            <m:r>
              <w:rPr>
                <w:rFonts w:ascii="Cambria Math" w:hAnsi="Cambria Math"/>
              </w:rPr>
              <m:t>π</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,s∈</m:t>
        </m:r>
        <m:r>
          <m:rPr>
            <m:scr m:val="script"/>
          </m:rPr>
          <w:rPr>
            <w:rFonts w:ascii="Cambria Math" w:eastAsiaTheme="minorEastAsia" w:hAnsi="Cambria Math"/>
          </w:rPr>
          <m:t>S</m:t>
        </m:r>
      </m:oMath>
      <w:r w:rsidR="005B5B83">
        <w:rPr>
          <w:rFonts w:eastAsiaTheme="minorEastAsia"/>
        </w:rPr>
        <w:t>.</w:t>
      </w:r>
      <w:r>
        <w:rPr>
          <w:rFonts w:eastAsiaTheme="minorEastAsia"/>
        </w:rPr>
        <w:t xml:space="preserve">  For details see (A.18)-(A.24) from [4].</w:t>
      </w:r>
    </w:p>
    <w:p w14:paraId="41B14CE8" w14:textId="77777777" w:rsidR="005B5B83" w:rsidRDefault="005B5B83">
      <w:pPr>
        <w:rPr>
          <w:rFonts w:eastAsiaTheme="minorEastAsia"/>
        </w:rPr>
      </w:pPr>
    </w:p>
    <w:p w14:paraId="3936D38A" w14:textId="5C896E7F" w:rsidR="005B5B83" w:rsidRPr="005B5B83" w:rsidRDefault="005B5B83">
      <w:pPr>
        <w:rPr>
          <w:rFonts w:eastAsiaTheme="minorEastAsia"/>
          <w:b/>
          <w:bCs/>
          <w:u w:val="single"/>
        </w:rPr>
      </w:pPr>
      <w:r w:rsidRPr="005B5B83">
        <w:rPr>
          <w:rFonts w:eastAsiaTheme="minorEastAsia"/>
          <w:b/>
          <w:bCs/>
          <w:u w:val="single"/>
        </w:rPr>
        <w:t>Iterative solution methods of (pe.2)</w:t>
      </w:r>
    </w:p>
    <w:p w14:paraId="60954BA3" w14:textId="77777777" w:rsidR="005B5B83" w:rsidRDefault="005B5B83">
      <w:pPr>
        <w:rPr>
          <w:rFonts w:eastAsiaTheme="minorEastAsia"/>
        </w:rPr>
      </w:pPr>
    </w:p>
    <w:p w14:paraId="071306B6" w14:textId="3A6607EF" w:rsidR="005B5B83" w:rsidRPr="00B55EA5" w:rsidRDefault="005B5B83">
      <w:pPr>
        <w:rPr>
          <w:rFonts w:eastAsiaTheme="minorEastAsia"/>
        </w:rPr>
      </w:pPr>
      <w:r>
        <w:rPr>
          <w:rFonts w:eastAsiaTheme="minorEastAsia"/>
        </w:rPr>
        <w:t xml:space="preserve">Consider a sequence of approximate value functions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oMath>
      <w:r>
        <w:rPr>
          <w:rFonts w:eastAsiaTheme="minorEastAsia"/>
        </w:rPr>
        <w:t xml:space="preserve">, each mapping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oMath>
      <w:r>
        <w:rPr>
          <w:rFonts w:eastAsiaTheme="minorEastAsia"/>
        </w:rPr>
        <w:t xml:space="preserve"> to </w:t>
      </w:r>
      <m:oMath>
        <m:r>
          <m:rPr>
            <m:scr m:val="double-struck"/>
          </m:rPr>
          <w:rPr>
            <w:rFonts w:ascii="Cambria Math" w:eastAsiaTheme="minorEastAsia" w:hAnsi="Cambria Math"/>
          </w:rPr>
          <m:t>R</m:t>
        </m:r>
        <m:r>
          <w:rPr>
            <w:rStyle w:val="FootnoteReference"/>
            <w:rFonts w:ascii="Cambria Math" w:eastAsiaTheme="minorEastAsia" w:hAnsi="Cambria Math"/>
            <w:i/>
          </w:rPr>
          <w:footnoteReference w:id="1"/>
        </m:r>
      </m:oMath>
      <w:r>
        <w:rPr>
          <w:rFonts w:eastAsiaTheme="minorEastAsia"/>
        </w:rPr>
        <w:t>.</w:t>
      </w:r>
    </w:p>
    <w:p w14:paraId="6DD98F62" w14:textId="77777777" w:rsidR="00B55EA5" w:rsidRDefault="00B55EA5">
      <w:pPr>
        <w:rPr>
          <w:rFonts w:eastAsiaTheme="minorEastAsia"/>
        </w:rPr>
      </w:pPr>
    </w:p>
    <w:p w14:paraId="1DE3B52C" w14:textId="77777777" w:rsidR="00B55EA5" w:rsidRDefault="00B55EA5"/>
    <w:sectPr w:rsidR="00B55E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B14ED" w14:textId="77777777" w:rsidR="00720B50" w:rsidRDefault="00720B50" w:rsidP="005B5B83">
      <w:pPr>
        <w:spacing w:line="240" w:lineRule="auto"/>
      </w:pPr>
      <w:r>
        <w:separator/>
      </w:r>
    </w:p>
  </w:endnote>
  <w:endnote w:type="continuationSeparator" w:id="0">
    <w:p w14:paraId="4FF81D95" w14:textId="77777777" w:rsidR="00720B50" w:rsidRDefault="00720B50" w:rsidP="005B5B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F60DF" w14:textId="77777777" w:rsidR="00720B50" w:rsidRDefault="00720B50" w:rsidP="005B5B83">
      <w:pPr>
        <w:spacing w:line="240" w:lineRule="auto"/>
      </w:pPr>
      <w:r>
        <w:separator/>
      </w:r>
    </w:p>
  </w:footnote>
  <w:footnote w:type="continuationSeparator" w:id="0">
    <w:p w14:paraId="6D01DA6F" w14:textId="77777777" w:rsidR="00720B50" w:rsidRDefault="00720B50" w:rsidP="005B5B83">
      <w:pPr>
        <w:spacing w:line="240" w:lineRule="auto"/>
      </w:pPr>
      <w:r>
        <w:continuationSeparator/>
      </w:r>
    </w:p>
  </w:footnote>
  <w:footnote w:id="1">
    <w:p w14:paraId="774B3822" w14:textId="0DDD0B91" w:rsidR="005B5B83" w:rsidRDefault="005B5B83">
      <w:pPr>
        <w:pStyle w:val="FootnoteText"/>
      </w:pPr>
      <w:r>
        <w:rPr>
          <w:rStyle w:val="FootnoteReference"/>
        </w:rPr>
        <w:footnoteRef/>
      </w:r>
      <w:r>
        <w:t xml:space="preserve"> </w:t>
      </w:r>
      <m:oMath>
        <m:sSup>
          <m:sSupPr>
            <m:ctrlPr>
              <w:rPr>
                <w:rFonts w:ascii="Cambria Math" w:hAnsi="Cambria Math"/>
                <w:i/>
              </w:rPr>
            </m:ctrlPr>
          </m:sSupPr>
          <m:e>
            <m:r>
              <m:rPr>
                <m:scr m:val="script"/>
              </m:rPr>
              <w:rPr>
                <w:rFonts w:ascii="Cambria Math" w:hAnsi="Cambria Math"/>
              </w:rPr>
              <m:t>S</m:t>
            </m:r>
          </m:e>
          <m:sup>
            <m:r>
              <w:rPr>
                <w:rFonts w:ascii="Cambria Math" w:hAnsi="Cambria Math"/>
              </w:rPr>
              <m:t>+</m:t>
            </m:r>
          </m:sup>
        </m:sSup>
        <m:r>
          <w:rPr>
            <w:rFonts w:ascii="Cambria Math" w:hAnsi="Cambria Math"/>
          </w:rPr>
          <m:t>=</m:t>
        </m:r>
        <m:r>
          <m:rPr>
            <m:scr m:val="script"/>
          </m:rPr>
          <w:rPr>
            <w:rFonts w:ascii="Cambria Math" w:hAnsi="Cambria Math"/>
          </w:rPr>
          <m:t>S</m:t>
        </m:r>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m:rPr>
                    <m:sty m:val="p"/>
                  </m:rPr>
                  <w:rPr>
                    <w:rFonts w:ascii="Cambria Math" w:hAnsi="Cambria Math"/>
                  </w:rPr>
                  <m:t>terminal</m:t>
                </m:r>
              </m:sub>
            </m:sSub>
          </m:e>
        </m:d>
      </m:oMath>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D7168F"/>
    <w:multiLevelType w:val="hybridMultilevel"/>
    <w:tmpl w:val="8F4CE9B4"/>
    <w:lvl w:ilvl="0" w:tplc="5442F49C">
      <w:start w:val="17"/>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716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735"/>
    <w:rsid w:val="000C0B06"/>
    <w:rsid w:val="0011413B"/>
    <w:rsid w:val="0028631B"/>
    <w:rsid w:val="0039538C"/>
    <w:rsid w:val="003D66CE"/>
    <w:rsid w:val="0053777D"/>
    <w:rsid w:val="005B5B83"/>
    <w:rsid w:val="006D1B8F"/>
    <w:rsid w:val="00720B50"/>
    <w:rsid w:val="00725427"/>
    <w:rsid w:val="0076273D"/>
    <w:rsid w:val="00804B08"/>
    <w:rsid w:val="00835735"/>
    <w:rsid w:val="009D4EC4"/>
    <w:rsid w:val="009E4EFF"/>
    <w:rsid w:val="00A33E82"/>
    <w:rsid w:val="00AD2000"/>
    <w:rsid w:val="00B04C7A"/>
    <w:rsid w:val="00B55EA5"/>
    <w:rsid w:val="00D373B0"/>
    <w:rsid w:val="00FC5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DD5D17"/>
  <w15:chartTrackingRefBased/>
  <w15:docId w15:val="{6DE12E68-E086-6C46-B8EC-7BEFBE300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13B"/>
    <w:pPr>
      <w:spacing w:after="0"/>
    </w:pPr>
    <w:rPr>
      <w:sz w:val="19"/>
    </w:rPr>
  </w:style>
  <w:style w:type="paragraph" w:styleId="Heading1">
    <w:name w:val="heading 1"/>
    <w:basedOn w:val="Normal"/>
    <w:next w:val="Normal"/>
    <w:link w:val="Heading1Char"/>
    <w:uiPriority w:val="9"/>
    <w:qFormat/>
    <w:rsid w:val="0011413B"/>
    <w:pPr>
      <w:keepNext/>
      <w:keepLines/>
      <w:outlineLvl w:val="0"/>
    </w:pPr>
    <w:rPr>
      <w:rFonts w:ascii="Calibri Light" w:eastAsiaTheme="majorEastAsia" w:hAnsi="Calibri Light" w:cstheme="majorBidi"/>
      <w:color w:val="0F4761" w:themeColor="accent1" w:themeShade="BF"/>
      <w:sz w:val="26"/>
      <w:szCs w:val="40"/>
    </w:rPr>
  </w:style>
  <w:style w:type="paragraph" w:styleId="Heading2">
    <w:name w:val="heading 2"/>
    <w:basedOn w:val="Normal"/>
    <w:next w:val="Normal"/>
    <w:link w:val="Heading2Char"/>
    <w:uiPriority w:val="9"/>
    <w:unhideWhenUsed/>
    <w:qFormat/>
    <w:rsid w:val="0011413B"/>
    <w:pPr>
      <w:keepNext/>
      <w:keepLines/>
      <w:outlineLvl w:val="1"/>
    </w:pPr>
    <w:rPr>
      <w:rFonts w:ascii="Calibri Light" w:eastAsiaTheme="majorEastAsia" w:hAnsi="Calibri Light" w:cstheme="majorBidi"/>
      <w:color w:val="0F4761" w:themeColor="accent1" w:themeShade="BF"/>
      <w:sz w:val="24"/>
      <w:szCs w:val="32"/>
    </w:rPr>
  </w:style>
  <w:style w:type="paragraph" w:styleId="Heading3">
    <w:name w:val="heading 3"/>
    <w:basedOn w:val="Normal"/>
    <w:next w:val="Normal"/>
    <w:link w:val="Heading3Char"/>
    <w:uiPriority w:val="9"/>
    <w:semiHidden/>
    <w:unhideWhenUsed/>
    <w:qFormat/>
    <w:rsid w:val="008357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7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7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7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7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7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7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13B"/>
    <w:rPr>
      <w:rFonts w:ascii="Calibri Light" w:eastAsiaTheme="majorEastAsia" w:hAnsi="Calibri Light" w:cstheme="majorBidi"/>
      <w:color w:val="0F4761" w:themeColor="accent1" w:themeShade="BF"/>
      <w:sz w:val="26"/>
      <w:szCs w:val="40"/>
    </w:rPr>
  </w:style>
  <w:style w:type="character" w:customStyle="1" w:styleId="Heading2Char">
    <w:name w:val="Heading 2 Char"/>
    <w:basedOn w:val="DefaultParagraphFont"/>
    <w:link w:val="Heading2"/>
    <w:uiPriority w:val="9"/>
    <w:rsid w:val="0011413B"/>
    <w:rPr>
      <w:rFonts w:ascii="Calibri Light" w:eastAsiaTheme="majorEastAsia" w:hAnsi="Calibri Light" w:cstheme="majorBidi"/>
      <w:color w:val="0F4761" w:themeColor="accent1" w:themeShade="BF"/>
      <w:szCs w:val="32"/>
    </w:rPr>
  </w:style>
  <w:style w:type="character" w:customStyle="1" w:styleId="Heading3Char">
    <w:name w:val="Heading 3 Char"/>
    <w:basedOn w:val="DefaultParagraphFont"/>
    <w:link w:val="Heading3"/>
    <w:uiPriority w:val="9"/>
    <w:semiHidden/>
    <w:rsid w:val="008357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7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7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7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7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7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735"/>
    <w:rPr>
      <w:rFonts w:eastAsiaTheme="majorEastAsia" w:cstheme="majorBidi"/>
      <w:color w:val="272727" w:themeColor="text1" w:themeTint="D8"/>
    </w:rPr>
  </w:style>
  <w:style w:type="paragraph" w:styleId="Title">
    <w:name w:val="Title"/>
    <w:basedOn w:val="Normal"/>
    <w:next w:val="Normal"/>
    <w:link w:val="TitleChar"/>
    <w:uiPriority w:val="10"/>
    <w:qFormat/>
    <w:rsid w:val="0011413B"/>
    <w:pPr>
      <w:spacing w:line="240" w:lineRule="auto"/>
      <w:contextualSpacing/>
    </w:pPr>
    <w:rPr>
      <w:rFonts w:ascii="Calibri Light" w:eastAsiaTheme="majorEastAsia" w:hAnsi="Calibri Light" w:cstheme="majorBidi"/>
      <w:spacing w:val="-10"/>
      <w:kern w:val="28"/>
      <w:sz w:val="28"/>
      <w:szCs w:val="56"/>
    </w:rPr>
  </w:style>
  <w:style w:type="character" w:customStyle="1" w:styleId="TitleChar">
    <w:name w:val="Title Char"/>
    <w:basedOn w:val="DefaultParagraphFont"/>
    <w:link w:val="Title"/>
    <w:uiPriority w:val="10"/>
    <w:rsid w:val="0011413B"/>
    <w:rPr>
      <w:rFonts w:ascii="Calibri Light" w:eastAsiaTheme="majorEastAsia" w:hAnsi="Calibri Light" w:cstheme="majorBidi"/>
      <w:spacing w:val="-10"/>
      <w:kern w:val="28"/>
      <w:sz w:val="28"/>
      <w:szCs w:val="56"/>
    </w:rPr>
  </w:style>
  <w:style w:type="paragraph" w:styleId="Subtitle">
    <w:name w:val="Subtitle"/>
    <w:basedOn w:val="Normal"/>
    <w:next w:val="Normal"/>
    <w:link w:val="SubtitleChar"/>
    <w:uiPriority w:val="11"/>
    <w:qFormat/>
    <w:rsid w:val="008357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7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735"/>
    <w:pPr>
      <w:spacing w:before="160"/>
      <w:jc w:val="center"/>
    </w:pPr>
    <w:rPr>
      <w:i/>
      <w:iCs/>
      <w:color w:val="404040" w:themeColor="text1" w:themeTint="BF"/>
    </w:rPr>
  </w:style>
  <w:style w:type="character" w:customStyle="1" w:styleId="QuoteChar">
    <w:name w:val="Quote Char"/>
    <w:basedOn w:val="DefaultParagraphFont"/>
    <w:link w:val="Quote"/>
    <w:uiPriority w:val="29"/>
    <w:rsid w:val="00835735"/>
    <w:rPr>
      <w:i/>
      <w:iCs/>
      <w:color w:val="404040" w:themeColor="text1" w:themeTint="BF"/>
    </w:rPr>
  </w:style>
  <w:style w:type="paragraph" w:styleId="ListParagraph">
    <w:name w:val="List Paragraph"/>
    <w:basedOn w:val="Normal"/>
    <w:uiPriority w:val="34"/>
    <w:qFormat/>
    <w:rsid w:val="00835735"/>
    <w:pPr>
      <w:ind w:left="720"/>
      <w:contextualSpacing/>
    </w:pPr>
  </w:style>
  <w:style w:type="character" w:styleId="IntenseEmphasis">
    <w:name w:val="Intense Emphasis"/>
    <w:basedOn w:val="DefaultParagraphFont"/>
    <w:uiPriority w:val="21"/>
    <w:qFormat/>
    <w:rsid w:val="00835735"/>
    <w:rPr>
      <w:i/>
      <w:iCs/>
      <w:color w:val="0F4761" w:themeColor="accent1" w:themeShade="BF"/>
    </w:rPr>
  </w:style>
  <w:style w:type="paragraph" w:styleId="IntenseQuote">
    <w:name w:val="Intense Quote"/>
    <w:basedOn w:val="Normal"/>
    <w:next w:val="Normal"/>
    <w:link w:val="IntenseQuoteChar"/>
    <w:uiPriority w:val="30"/>
    <w:qFormat/>
    <w:rsid w:val="008357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735"/>
    <w:rPr>
      <w:i/>
      <w:iCs/>
      <w:color w:val="0F4761" w:themeColor="accent1" w:themeShade="BF"/>
    </w:rPr>
  </w:style>
  <w:style w:type="character" w:styleId="IntenseReference">
    <w:name w:val="Intense Reference"/>
    <w:basedOn w:val="DefaultParagraphFont"/>
    <w:uiPriority w:val="32"/>
    <w:qFormat/>
    <w:rsid w:val="00835735"/>
    <w:rPr>
      <w:b/>
      <w:bCs/>
      <w:smallCaps/>
      <w:color w:val="0F4761" w:themeColor="accent1" w:themeShade="BF"/>
      <w:spacing w:val="5"/>
    </w:rPr>
  </w:style>
  <w:style w:type="paragraph" w:styleId="Bibliography">
    <w:name w:val="Bibliography"/>
    <w:basedOn w:val="Normal"/>
    <w:next w:val="Normal"/>
    <w:uiPriority w:val="37"/>
    <w:unhideWhenUsed/>
    <w:rsid w:val="003D66CE"/>
    <w:pPr>
      <w:spacing w:line="240" w:lineRule="auto"/>
    </w:pPr>
    <w:rPr>
      <w:kern w:val="0"/>
      <w:sz w:val="24"/>
      <w14:ligatures w14:val="none"/>
    </w:rPr>
  </w:style>
  <w:style w:type="character" w:styleId="PlaceholderText">
    <w:name w:val="Placeholder Text"/>
    <w:basedOn w:val="DefaultParagraphFont"/>
    <w:uiPriority w:val="99"/>
    <w:semiHidden/>
    <w:rsid w:val="00D373B0"/>
    <w:rPr>
      <w:color w:val="666666"/>
    </w:rPr>
  </w:style>
  <w:style w:type="character" w:styleId="Hyperlink">
    <w:name w:val="Hyperlink"/>
    <w:basedOn w:val="DefaultParagraphFont"/>
    <w:uiPriority w:val="99"/>
    <w:unhideWhenUsed/>
    <w:rsid w:val="009D4EC4"/>
    <w:rPr>
      <w:color w:val="467886" w:themeColor="hyperlink"/>
      <w:u w:val="single"/>
    </w:rPr>
  </w:style>
  <w:style w:type="character" w:styleId="UnresolvedMention">
    <w:name w:val="Unresolved Mention"/>
    <w:basedOn w:val="DefaultParagraphFont"/>
    <w:uiPriority w:val="99"/>
    <w:semiHidden/>
    <w:unhideWhenUsed/>
    <w:rsid w:val="009D4EC4"/>
    <w:rPr>
      <w:color w:val="605E5C"/>
      <w:shd w:val="clear" w:color="auto" w:fill="E1DFDD"/>
    </w:rPr>
  </w:style>
  <w:style w:type="paragraph" w:styleId="FootnoteText">
    <w:name w:val="footnote text"/>
    <w:basedOn w:val="Normal"/>
    <w:link w:val="FootnoteTextChar"/>
    <w:uiPriority w:val="99"/>
    <w:semiHidden/>
    <w:unhideWhenUsed/>
    <w:rsid w:val="005B5B83"/>
    <w:pPr>
      <w:spacing w:line="240" w:lineRule="auto"/>
    </w:pPr>
    <w:rPr>
      <w:sz w:val="20"/>
      <w:szCs w:val="20"/>
    </w:rPr>
  </w:style>
  <w:style w:type="character" w:customStyle="1" w:styleId="FootnoteTextChar">
    <w:name w:val="Footnote Text Char"/>
    <w:basedOn w:val="DefaultParagraphFont"/>
    <w:link w:val="FootnoteText"/>
    <w:uiPriority w:val="99"/>
    <w:semiHidden/>
    <w:rsid w:val="005B5B83"/>
    <w:rPr>
      <w:sz w:val="20"/>
      <w:szCs w:val="20"/>
    </w:rPr>
  </w:style>
  <w:style w:type="character" w:styleId="FootnoteReference">
    <w:name w:val="footnote reference"/>
    <w:basedOn w:val="DefaultParagraphFont"/>
    <w:uiPriority w:val="99"/>
    <w:semiHidden/>
    <w:unhideWhenUsed/>
    <w:rsid w:val="005B5B8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imitarpg13/reinforcement_learning_and_game_theory/blob/main/books/ReinforcementLearningSuttonSecondEdition2020.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dimitarpg13/reinforcement_learning_and_game_theory/blob/main/docs/Examples_using_Policy_and_Value_Functions.docx" TargetMode="External"/><Relationship Id="rId5" Type="http://schemas.openxmlformats.org/officeDocument/2006/relationships/webSettings" Target="webSettings.xml"/><Relationship Id="rId10" Type="http://schemas.openxmlformats.org/officeDocument/2006/relationships/hyperlink" Target="https://github.com/dimitarpg13/reinforcement_learning_and_game_theory/blob/main/docs/Note_on_Q_functions_in_Reinforcement_Learning.docx" TargetMode="External"/><Relationship Id="rId4" Type="http://schemas.openxmlformats.org/officeDocument/2006/relationships/settings" Target="settings.xml"/><Relationship Id="rId9" Type="http://schemas.openxmlformats.org/officeDocument/2006/relationships/hyperlink" Target="https://en.wikipedia.org/wiki/Q-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2F14DB-3C59-304F-B7C5-96D0216060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2</Pages>
  <Words>483</Words>
  <Characters>2756</Characters>
  <Application>Microsoft Office Word</Application>
  <DocSecurity>0</DocSecurity>
  <Lines>22</Lines>
  <Paragraphs>6</Paragraphs>
  <ScaleCrop>false</ScaleCrop>
  <Company/>
  <LinksUpToDate>false</LinksUpToDate>
  <CharactersWithSpaces>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Dimitar Gueorguiev</dc:creator>
  <cp:keywords/>
  <dc:description/>
  <cp:lastModifiedBy>Dimitar Gueorguiev</cp:lastModifiedBy>
  <cp:revision>15</cp:revision>
  <dcterms:created xsi:type="dcterms:W3CDTF">2026-02-09T05:07:00Z</dcterms:created>
  <dcterms:modified xsi:type="dcterms:W3CDTF">2026-02-14T02:18:00Z</dcterms:modified>
</cp:coreProperties>
</file>