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i=1..16</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q=l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952D58"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000000"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952D58"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50681AE7" w14:textId="77777777" w:rsidR="00984A6F" w:rsidRDefault="00984A6F">
      <w:pPr>
        <w:rPr>
          <w:sz w:val="20"/>
          <w:szCs w:val="20"/>
        </w:rPr>
      </w:pPr>
    </w:p>
    <w:tbl>
      <w:tblPr>
        <w:tblStyle w:val="TableGrid"/>
        <w:tblW w:w="0" w:type="auto"/>
        <w:tblLook w:val="04A0" w:firstRow="1" w:lastRow="0" w:firstColumn="1" w:lastColumn="0" w:noHBand="0" w:noVBand="1"/>
      </w:tblPr>
      <w:tblGrid>
        <w:gridCol w:w="659"/>
        <w:gridCol w:w="754"/>
        <w:gridCol w:w="754"/>
        <w:gridCol w:w="754"/>
        <w:gridCol w:w="754"/>
        <w:gridCol w:w="444"/>
        <w:gridCol w:w="444"/>
        <w:gridCol w:w="444"/>
        <w:gridCol w:w="444"/>
        <w:gridCol w:w="441"/>
        <w:gridCol w:w="494"/>
        <w:gridCol w:w="494"/>
        <w:gridCol w:w="494"/>
        <w:gridCol w:w="494"/>
        <w:gridCol w:w="494"/>
        <w:gridCol w:w="494"/>
        <w:gridCol w:w="494"/>
      </w:tblGrid>
      <w:tr w:rsidR="00984A6F" w14:paraId="1313BE69" w14:textId="77777777" w:rsidTr="006F22B4">
        <w:tc>
          <w:tcPr>
            <w:tcW w:w="726" w:type="dxa"/>
          </w:tcPr>
          <w:p w14:paraId="2A213A47" w14:textId="77777777" w:rsidR="00984A6F" w:rsidRDefault="00984A6F">
            <w:pPr>
              <w:rPr>
                <w:sz w:val="20"/>
                <w:szCs w:val="20"/>
              </w:rPr>
            </w:pPr>
          </w:p>
        </w:tc>
        <w:tc>
          <w:tcPr>
            <w:tcW w:w="539" w:type="dxa"/>
          </w:tcPr>
          <w:p w14:paraId="57C57914" w14:textId="4C764231"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539" w:type="dxa"/>
          </w:tcPr>
          <w:p w14:paraId="4DC2D273" w14:textId="2838A435"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539" w:type="dxa"/>
          </w:tcPr>
          <w:p w14:paraId="46106BFB" w14:textId="43D50C5F"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539" w:type="dxa"/>
          </w:tcPr>
          <w:p w14:paraId="7F0B4CBA" w14:textId="7B154452"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539" w:type="dxa"/>
          </w:tcPr>
          <w:p w14:paraId="6F8B85E3" w14:textId="435056C9"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539" w:type="dxa"/>
          </w:tcPr>
          <w:p w14:paraId="569C3B4B" w14:textId="30814CB2"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539" w:type="dxa"/>
          </w:tcPr>
          <w:p w14:paraId="429B8064" w14:textId="12FB17D1"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539" w:type="dxa"/>
          </w:tcPr>
          <w:p w14:paraId="6299557E" w14:textId="74DB0B5C"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539" w:type="dxa"/>
          </w:tcPr>
          <w:p w14:paraId="2F71A275" w14:textId="197A37C1"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539" w:type="dxa"/>
          </w:tcPr>
          <w:p w14:paraId="35723A9F" w14:textId="00B9A9A7"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c>
          <w:tcPr>
            <w:tcW w:w="539" w:type="dxa"/>
          </w:tcPr>
          <w:p w14:paraId="7A3FB09D" w14:textId="6DAE2A88"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539" w:type="dxa"/>
          </w:tcPr>
          <w:p w14:paraId="7867627B" w14:textId="4DA28C75"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539" w:type="dxa"/>
          </w:tcPr>
          <w:p w14:paraId="3139F4CE" w14:textId="6FF33CD7"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539" w:type="dxa"/>
          </w:tcPr>
          <w:p w14:paraId="177160E0" w14:textId="61720A3A"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539" w:type="dxa"/>
          </w:tcPr>
          <w:p w14:paraId="739E2346" w14:textId="6EFF324D"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539" w:type="dxa"/>
          </w:tcPr>
          <w:p w14:paraId="14BC3396" w14:textId="4F39AF01" w:rsidR="00984A6F"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r>
      <w:tr w:rsidR="00984A6F" w14:paraId="59A808D9" w14:textId="77777777" w:rsidTr="006F22B4">
        <w:tc>
          <w:tcPr>
            <w:tcW w:w="726" w:type="dxa"/>
          </w:tcPr>
          <w:p w14:paraId="777C8F78" w14:textId="1088EDD9" w:rsidR="00984A6F" w:rsidRPr="009B34C2" w:rsidRDefault="006F22B4">
            <w:pPr>
              <w:rPr>
                <w:sz w:val="16"/>
                <w:szCs w:val="16"/>
              </w:rPr>
            </w:pPr>
            <m:oMathPara>
              <m:oMath>
                <m:r>
                  <w:rPr>
                    <w:rFonts w:ascii="Cambria Math" w:hAnsi="Cambria Math"/>
                    <w:sz w:val="16"/>
                    <w:szCs w:val="16"/>
                  </w:rPr>
                  <m:t>north</m:t>
                </m:r>
              </m:oMath>
            </m:oMathPara>
          </w:p>
        </w:tc>
        <w:tc>
          <w:tcPr>
            <w:tcW w:w="539" w:type="dxa"/>
          </w:tcPr>
          <w:p w14:paraId="0098D9D2" w14:textId="59AA1CAA" w:rsidR="00984A6F" w:rsidRPr="009B34C2" w:rsidRDefault="00000000">
            <w:pPr>
              <w:rPr>
                <w:sz w:val="16"/>
                <w:szCs w:val="16"/>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02E8FE12" w14:textId="099FBE77"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3F67B588" w14:textId="505AA21D"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08AC0234" w14:textId="400A05EE"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49DD3D50" w14:textId="77777777" w:rsidR="00984A6F" w:rsidRDefault="00984A6F">
            <w:pPr>
              <w:rPr>
                <w:sz w:val="20"/>
                <w:szCs w:val="20"/>
              </w:rPr>
            </w:pPr>
          </w:p>
        </w:tc>
        <w:tc>
          <w:tcPr>
            <w:tcW w:w="539" w:type="dxa"/>
          </w:tcPr>
          <w:p w14:paraId="4785F749" w14:textId="77777777" w:rsidR="00984A6F" w:rsidRDefault="00984A6F">
            <w:pPr>
              <w:rPr>
                <w:sz w:val="20"/>
                <w:szCs w:val="20"/>
              </w:rPr>
            </w:pPr>
          </w:p>
        </w:tc>
        <w:tc>
          <w:tcPr>
            <w:tcW w:w="539" w:type="dxa"/>
          </w:tcPr>
          <w:p w14:paraId="796C8176" w14:textId="77777777" w:rsidR="00984A6F" w:rsidRDefault="00984A6F">
            <w:pPr>
              <w:rPr>
                <w:sz w:val="20"/>
                <w:szCs w:val="20"/>
              </w:rPr>
            </w:pPr>
          </w:p>
        </w:tc>
        <w:tc>
          <w:tcPr>
            <w:tcW w:w="539" w:type="dxa"/>
          </w:tcPr>
          <w:p w14:paraId="52AF72D1" w14:textId="77777777" w:rsidR="00984A6F" w:rsidRDefault="00984A6F">
            <w:pPr>
              <w:rPr>
                <w:sz w:val="20"/>
                <w:szCs w:val="20"/>
              </w:rPr>
            </w:pPr>
          </w:p>
        </w:tc>
        <w:tc>
          <w:tcPr>
            <w:tcW w:w="539" w:type="dxa"/>
          </w:tcPr>
          <w:p w14:paraId="2FD4ABF2" w14:textId="77777777" w:rsidR="00984A6F" w:rsidRDefault="00984A6F">
            <w:pPr>
              <w:rPr>
                <w:sz w:val="20"/>
                <w:szCs w:val="20"/>
              </w:rPr>
            </w:pPr>
          </w:p>
        </w:tc>
        <w:tc>
          <w:tcPr>
            <w:tcW w:w="539" w:type="dxa"/>
          </w:tcPr>
          <w:p w14:paraId="0CD52B99" w14:textId="77777777" w:rsidR="00984A6F" w:rsidRDefault="00984A6F">
            <w:pPr>
              <w:rPr>
                <w:sz w:val="20"/>
                <w:szCs w:val="20"/>
              </w:rPr>
            </w:pPr>
          </w:p>
        </w:tc>
        <w:tc>
          <w:tcPr>
            <w:tcW w:w="539" w:type="dxa"/>
          </w:tcPr>
          <w:p w14:paraId="68F64766" w14:textId="77777777" w:rsidR="00984A6F" w:rsidRDefault="00984A6F">
            <w:pPr>
              <w:rPr>
                <w:sz w:val="20"/>
                <w:szCs w:val="20"/>
              </w:rPr>
            </w:pPr>
          </w:p>
        </w:tc>
        <w:tc>
          <w:tcPr>
            <w:tcW w:w="539" w:type="dxa"/>
          </w:tcPr>
          <w:p w14:paraId="4B1E0472" w14:textId="77777777" w:rsidR="00984A6F" w:rsidRDefault="00984A6F">
            <w:pPr>
              <w:rPr>
                <w:sz w:val="20"/>
                <w:szCs w:val="20"/>
              </w:rPr>
            </w:pPr>
          </w:p>
        </w:tc>
        <w:tc>
          <w:tcPr>
            <w:tcW w:w="539" w:type="dxa"/>
          </w:tcPr>
          <w:p w14:paraId="599D74EF" w14:textId="77777777" w:rsidR="00984A6F" w:rsidRDefault="00984A6F">
            <w:pPr>
              <w:rPr>
                <w:sz w:val="20"/>
                <w:szCs w:val="20"/>
              </w:rPr>
            </w:pPr>
          </w:p>
        </w:tc>
        <w:tc>
          <w:tcPr>
            <w:tcW w:w="539" w:type="dxa"/>
          </w:tcPr>
          <w:p w14:paraId="089BE7C5" w14:textId="77777777" w:rsidR="00984A6F" w:rsidRDefault="00984A6F">
            <w:pPr>
              <w:rPr>
                <w:sz w:val="20"/>
                <w:szCs w:val="20"/>
              </w:rPr>
            </w:pPr>
          </w:p>
        </w:tc>
        <w:tc>
          <w:tcPr>
            <w:tcW w:w="539" w:type="dxa"/>
          </w:tcPr>
          <w:p w14:paraId="6017161B" w14:textId="77777777" w:rsidR="00984A6F" w:rsidRDefault="00984A6F">
            <w:pPr>
              <w:rPr>
                <w:sz w:val="20"/>
                <w:szCs w:val="20"/>
              </w:rPr>
            </w:pPr>
          </w:p>
        </w:tc>
        <w:tc>
          <w:tcPr>
            <w:tcW w:w="539" w:type="dxa"/>
          </w:tcPr>
          <w:p w14:paraId="70B7E3B8" w14:textId="77777777" w:rsidR="00984A6F" w:rsidRDefault="00984A6F">
            <w:pPr>
              <w:rPr>
                <w:sz w:val="20"/>
                <w:szCs w:val="20"/>
              </w:rPr>
            </w:pPr>
          </w:p>
        </w:tc>
      </w:tr>
      <w:tr w:rsidR="00984A6F" w14:paraId="149346B9" w14:textId="77777777" w:rsidTr="006F22B4">
        <w:tc>
          <w:tcPr>
            <w:tcW w:w="726" w:type="dxa"/>
          </w:tcPr>
          <w:p w14:paraId="1E68422D" w14:textId="5B8552DD" w:rsidR="00984A6F" w:rsidRPr="009B34C2" w:rsidRDefault="006F22B4">
            <w:pPr>
              <w:rPr>
                <w:sz w:val="16"/>
                <w:szCs w:val="16"/>
              </w:rPr>
            </w:pPr>
            <m:oMathPara>
              <m:oMath>
                <m:r>
                  <w:rPr>
                    <w:rFonts w:ascii="Cambria Math" w:hAnsi="Cambria Math"/>
                    <w:sz w:val="16"/>
                    <w:szCs w:val="16"/>
                  </w:rPr>
                  <m:t>south</m:t>
                </m:r>
              </m:oMath>
            </m:oMathPara>
          </w:p>
        </w:tc>
        <w:tc>
          <w:tcPr>
            <w:tcW w:w="539" w:type="dxa"/>
          </w:tcPr>
          <w:p w14:paraId="20BF8DEB" w14:textId="14020912" w:rsidR="00984A6F" w:rsidRPr="009B34C2" w:rsidRDefault="00000000">
            <w:pPr>
              <w:rPr>
                <w:sz w:val="16"/>
                <w:szCs w:val="16"/>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539" w:type="dxa"/>
          </w:tcPr>
          <w:p w14:paraId="6FB4347A" w14:textId="0D50B9F9"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539" w:type="dxa"/>
          </w:tcPr>
          <w:p w14:paraId="6F4E30CA" w14:textId="7CEF188E"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539" w:type="dxa"/>
          </w:tcPr>
          <w:p w14:paraId="25B2BAFB" w14:textId="0E08A342"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539" w:type="dxa"/>
          </w:tcPr>
          <w:p w14:paraId="54BC03ED" w14:textId="77777777" w:rsidR="00984A6F" w:rsidRDefault="00984A6F">
            <w:pPr>
              <w:rPr>
                <w:sz w:val="20"/>
                <w:szCs w:val="20"/>
              </w:rPr>
            </w:pPr>
          </w:p>
        </w:tc>
        <w:tc>
          <w:tcPr>
            <w:tcW w:w="539" w:type="dxa"/>
          </w:tcPr>
          <w:p w14:paraId="4BEF85A5" w14:textId="77777777" w:rsidR="00984A6F" w:rsidRDefault="00984A6F">
            <w:pPr>
              <w:rPr>
                <w:sz w:val="20"/>
                <w:szCs w:val="20"/>
              </w:rPr>
            </w:pPr>
          </w:p>
        </w:tc>
        <w:tc>
          <w:tcPr>
            <w:tcW w:w="539" w:type="dxa"/>
          </w:tcPr>
          <w:p w14:paraId="3EE6F005" w14:textId="77777777" w:rsidR="00984A6F" w:rsidRDefault="00984A6F">
            <w:pPr>
              <w:rPr>
                <w:sz w:val="20"/>
                <w:szCs w:val="20"/>
              </w:rPr>
            </w:pPr>
          </w:p>
        </w:tc>
        <w:tc>
          <w:tcPr>
            <w:tcW w:w="539" w:type="dxa"/>
          </w:tcPr>
          <w:p w14:paraId="3C92CAEE" w14:textId="77777777" w:rsidR="00984A6F" w:rsidRDefault="00984A6F">
            <w:pPr>
              <w:rPr>
                <w:sz w:val="20"/>
                <w:szCs w:val="20"/>
              </w:rPr>
            </w:pPr>
          </w:p>
        </w:tc>
        <w:tc>
          <w:tcPr>
            <w:tcW w:w="539" w:type="dxa"/>
          </w:tcPr>
          <w:p w14:paraId="667FE181" w14:textId="77777777" w:rsidR="00984A6F" w:rsidRDefault="00984A6F">
            <w:pPr>
              <w:rPr>
                <w:sz w:val="20"/>
                <w:szCs w:val="20"/>
              </w:rPr>
            </w:pPr>
          </w:p>
        </w:tc>
        <w:tc>
          <w:tcPr>
            <w:tcW w:w="539" w:type="dxa"/>
          </w:tcPr>
          <w:p w14:paraId="52FAF1EC" w14:textId="77777777" w:rsidR="00984A6F" w:rsidRDefault="00984A6F">
            <w:pPr>
              <w:rPr>
                <w:sz w:val="20"/>
                <w:szCs w:val="20"/>
              </w:rPr>
            </w:pPr>
          </w:p>
        </w:tc>
        <w:tc>
          <w:tcPr>
            <w:tcW w:w="539" w:type="dxa"/>
          </w:tcPr>
          <w:p w14:paraId="001FBF55" w14:textId="77777777" w:rsidR="00984A6F" w:rsidRDefault="00984A6F">
            <w:pPr>
              <w:rPr>
                <w:sz w:val="20"/>
                <w:szCs w:val="20"/>
              </w:rPr>
            </w:pPr>
          </w:p>
        </w:tc>
        <w:tc>
          <w:tcPr>
            <w:tcW w:w="539" w:type="dxa"/>
          </w:tcPr>
          <w:p w14:paraId="5CFBD620" w14:textId="77777777" w:rsidR="00984A6F" w:rsidRDefault="00984A6F">
            <w:pPr>
              <w:rPr>
                <w:sz w:val="20"/>
                <w:szCs w:val="20"/>
              </w:rPr>
            </w:pPr>
          </w:p>
        </w:tc>
        <w:tc>
          <w:tcPr>
            <w:tcW w:w="539" w:type="dxa"/>
          </w:tcPr>
          <w:p w14:paraId="445276F2" w14:textId="77777777" w:rsidR="00984A6F" w:rsidRDefault="00984A6F">
            <w:pPr>
              <w:rPr>
                <w:sz w:val="20"/>
                <w:szCs w:val="20"/>
              </w:rPr>
            </w:pPr>
          </w:p>
        </w:tc>
        <w:tc>
          <w:tcPr>
            <w:tcW w:w="539" w:type="dxa"/>
          </w:tcPr>
          <w:p w14:paraId="2AAA0AAA" w14:textId="77777777" w:rsidR="00984A6F" w:rsidRDefault="00984A6F">
            <w:pPr>
              <w:rPr>
                <w:sz w:val="20"/>
                <w:szCs w:val="20"/>
              </w:rPr>
            </w:pPr>
          </w:p>
        </w:tc>
        <w:tc>
          <w:tcPr>
            <w:tcW w:w="539" w:type="dxa"/>
          </w:tcPr>
          <w:p w14:paraId="5867F30C" w14:textId="77777777" w:rsidR="00984A6F" w:rsidRDefault="00984A6F">
            <w:pPr>
              <w:rPr>
                <w:sz w:val="20"/>
                <w:szCs w:val="20"/>
              </w:rPr>
            </w:pPr>
          </w:p>
        </w:tc>
        <w:tc>
          <w:tcPr>
            <w:tcW w:w="539" w:type="dxa"/>
          </w:tcPr>
          <w:p w14:paraId="26E404A7" w14:textId="77777777" w:rsidR="00984A6F" w:rsidRDefault="00984A6F">
            <w:pPr>
              <w:rPr>
                <w:sz w:val="20"/>
                <w:szCs w:val="20"/>
              </w:rPr>
            </w:pPr>
          </w:p>
        </w:tc>
      </w:tr>
      <w:tr w:rsidR="00984A6F" w14:paraId="7FA9D097" w14:textId="77777777" w:rsidTr="006F22B4">
        <w:tc>
          <w:tcPr>
            <w:tcW w:w="726" w:type="dxa"/>
          </w:tcPr>
          <w:p w14:paraId="710CE8B1" w14:textId="44E216CD" w:rsidR="00984A6F" w:rsidRPr="009B34C2" w:rsidRDefault="006F22B4">
            <w:pPr>
              <w:rPr>
                <w:sz w:val="16"/>
                <w:szCs w:val="16"/>
              </w:rPr>
            </w:pPr>
            <m:oMathPara>
              <m:oMath>
                <m:r>
                  <w:rPr>
                    <w:rFonts w:ascii="Cambria Math" w:hAnsi="Cambria Math"/>
                    <w:sz w:val="16"/>
                    <w:szCs w:val="16"/>
                  </w:rPr>
                  <m:t>east</m:t>
                </m:r>
              </m:oMath>
            </m:oMathPara>
          </w:p>
        </w:tc>
        <w:tc>
          <w:tcPr>
            <w:tcW w:w="539" w:type="dxa"/>
          </w:tcPr>
          <w:p w14:paraId="1747C511" w14:textId="502127BD"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539" w:type="dxa"/>
          </w:tcPr>
          <w:p w14:paraId="375FCCE8" w14:textId="77777777" w:rsidR="00984A6F" w:rsidRDefault="00984A6F">
            <w:pPr>
              <w:rPr>
                <w:sz w:val="20"/>
                <w:szCs w:val="20"/>
              </w:rPr>
            </w:pPr>
          </w:p>
        </w:tc>
        <w:tc>
          <w:tcPr>
            <w:tcW w:w="539" w:type="dxa"/>
          </w:tcPr>
          <w:p w14:paraId="7144AECE" w14:textId="77777777" w:rsidR="00984A6F" w:rsidRDefault="00984A6F">
            <w:pPr>
              <w:rPr>
                <w:sz w:val="20"/>
                <w:szCs w:val="20"/>
              </w:rPr>
            </w:pPr>
          </w:p>
        </w:tc>
        <w:tc>
          <w:tcPr>
            <w:tcW w:w="539" w:type="dxa"/>
          </w:tcPr>
          <w:p w14:paraId="72F2FC76" w14:textId="77777777" w:rsidR="00984A6F" w:rsidRDefault="00984A6F">
            <w:pPr>
              <w:rPr>
                <w:sz w:val="20"/>
                <w:szCs w:val="20"/>
              </w:rPr>
            </w:pPr>
          </w:p>
        </w:tc>
        <w:tc>
          <w:tcPr>
            <w:tcW w:w="539" w:type="dxa"/>
          </w:tcPr>
          <w:p w14:paraId="6ECC1CCC" w14:textId="77777777" w:rsidR="00984A6F" w:rsidRDefault="00984A6F">
            <w:pPr>
              <w:rPr>
                <w:sz w:val="20"/>
                <w:szCs w:val="20"/>
              </w:rPr>
            </w:pPr>
          </w:p>
        </w:tc>
        <w:tc>
          <w:tcPr>
            <w:tcW w:w="539" w:type="dxa"/>
          </w:tcPr>
          <w:p w14:paraId="2779A789" w14:textId="77777777" w:rsidR="00984A6F" w:rsidRDefault="00984A6F">
            <w:pPr>
              <w:rPr>
                <w:sz w:val="20"/>
                <w:szCs w:val="20"/>
              </w:rPr>
            </w:pPr>
          </w:p>
        </w:tc>
        <w:tc>
          <w:tcPr>
            <w:tcW w:w="539" w:type="dxa"/>
          </w:tcPr>
          <w:p w14:paraId="011CFC21" w14:textId="77777777" w:rsidR="00984A6F" w:rsidRDefault="00984A6F">
            <w:pPr>
              <w:rPr>
                <w:sz w:val="20"/>
                <w:szCs w:val="20"/>
              </w:rPr>
            </w:pPr>
          </w:p>
        </w:tc>
        <w:tc>
          <w:tcPr>
            <w:tcW w:w="539" w:type="dxa"/>
          </w:tcPr>
          <w:p w14:paraId="50012ACB" w14:textId="77777777" w:rsidR="00984A6F" w:rsidRDefault="00984A6F">
            <w:pPr>
              <w:rPr>
                <w:sz w:val="20"/>
                <w:szCs w:val="20"/>
              </w:rPr>
            </w:pPr>
          </w:p>
        </w:tc>
        <w:tc>
          <w:tcPr>
            <w:tcW w:w="539" w:type="dxa"/>
          </w:tcPr>
          <w:p w14:paraId="57D39F6A" w14:textId="77777777" w:rsidR="00984A6F" w:rsidRDefault="00984A6F">
            <w:pPr>
              <w:rPr>
                <w:sz w:val="20"/>
                <w:szCs w:val="20"/>
              </w:rPr>
            </w:pPr>
          </w:p>
        </w:tc>
        <w:tc>
          <w:tcPr>
            <w:tcW w:w="539" w:type="dxa"/>
          </w:tcPr>
          <w:p w14:paraId="6C977980" w14:textId="77777777" w:rsidR="00984A6F" w:rsidRDefault="00984A6F">
            <w:pPr>
              <w:rPr>
                <w:sz w:val="20"/>
                <w:szCs w:val="20"/>
              </w:rPr>
            </w:pPr>
          </w:p>
        </w:tc>
        <w:tc>
          <w:tcPr>
            <w:tcW w:w="539" w:type="dxa"/>
          </w:tcPr>
          <w:p w14:paraId="0A1D1518" w14:textId="77777777" w:rsidR="00984A6F" w:rsidRDefault="00984A6F">
            <w:pPr>
              <w:rPr>
                <w:sz w:val="20"/>
                <w:szCs w:val="20"/>
              </w:rPr>
            </w:pPr>
          </w:p>
        </w:tc>
        <w:tc>
          <w:tcPr>
            <w:tcW w:w="539" w:type="dxa"/>
          </w:tcPr>
          <w:p w14:paraId="18BEFB49" w14:textId="77777777" w:rsidR="00984A6F" w:rsidRDefault="00984A6F">
            <w:pPr>
              <w:rPr>
                <w:sz w:val="20"/>
                <w:szCs w:val="20"/>
              </w:rPr>
            </w:pPr>
          </w:p>
        </w:tc>
        <w:tc>
          <w:tcPr>
            <w:tcW w:w="539" w:type="dxa"/>
          </w:tcPr>
          <w:p w14:paraId="71BAD085" w14:textId="77777777" w:rsidR="00984A6F" w:rsidRDefault="00984A6F">
            <w:pPr>
              <w:rPr>
                <w:sz w:val="20"/>
                <w:szCs w:val="20"/>
              </w:rPr>
            </w:pPr>
          </w:p>
        </w:tc>
        <w:tc>
          <w:tcPr>
            <w:tcW w:w="539" w:type="dxa"/>
          </w:tcPr>
          <w:p w14:paraId="26DE7694" w14:textId="77777777" w:rsidR="00984A6F" w:rsidRDefault="00984A6F">
            <w:pPr>
              <w:rPr>
                <w:sz w:val="20"/>
                <w:szCs w:val="20"/>
              </w:rPr>
            </w:pPr>
          </w:p>
        </w:tc>
        <w:tc>
          <w:tcPr>
            <w:tcW w:w="539" w:type="dxa"/>
          </w:tcPr>
          <w:p w14:paraId="3F77D3C6" w14:textId="77777777" w:rsidR="00984A6F" w:rsidRDefault="00984A6F">
            <w:pPr>
              <w:rPr>
                <w:sz w:val="20"/>
                <w:szCs w:val="20"/>
              </w:rPr>
            </w:pPr>
          </w:p>
        </w:tc>
        <w:tc>
          <w:tcPr>
            <w:tcW w:w="539" w:type="dxa"/>
          </w:tcPr>
          <w:p w14:paraId="73041BC2" w14:textId="77777777" w:rsidR="00984A6F" w:rsidRDefault="00984A6F">
            <w:pPr>
              <w:rPr>
                <w:sz w:val="20"/>
                <w:szCs w:val="20"/>
              </w:rPr>
            </w:pPr>
          </w:p>
        </w:tc>
      </w:tr>
      <w:tr w:rsidR="00984A6F" w14:paraId="535636C7" w14:textId="77777777" w:rsidTr="006F22B4">
        <w:tc>
          <w:tcPr>
            <w:tcW w:w="726" w:type="dxa"/>
          </w:tcPr>
          <w:p w14:paraId="30B43F72" w14:textId="3B0D80A0" w:rsidR="00984A6F" w:rsidRPr="009B34C2" w:rsidRDefault="006F22B4">
            <w:pPr>
              <w:rPr>
                <w:sz w:val="16"/>
                <w:szCs w:val="16"/>
              </w:rPr>
            </w:pPr>
            <m:oMathPara>
              <m:oMath>
                <m:r>
                  <w:rPr>
                    <w:rFonts w:ascii="Cambria Math" w:hAnsi="Cambria Math"/>
                    <w:sz w:val="16"/>
                    <w:szCs w:val="16"/>
                  </w:rPr>
                  <m:t>west</m:t>
                </m:r>
              </m:oMath>
            </m:oMathPara>
          </w:p>
        </w:tc>
        <w:tc>
          <w:tcPr>
            <w:tcW w:w="539" w:type="dxa"/>
          </w:tcPr>
          <w:p w14:paraId="0DF2C55E" w14:textId="787C1451" w:rsidR="00984A6F" w:rsidRDefault="0000000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358A6F88" w14:textId="77777777" w:rsidR="00984A6F" w:rsidRDefault="00984A6F">
            <w:pPr>
              <w:rPr>
                <w:sz w:val="20"/>
                <w:szCs w:val="20"/>
              </w:rPr>
            </w:pPr>
          </w:p>
        </w:tc>
        <w:tc>
          <w:tcPr>
            <w:tcW w:w="539" w:type="dxa"/>
          </w:tcPr>
          <w:p w14:paraId="1AE579B8" w14:textId="77777777" w:rsidR="00984A6F" w:rsidRDefault="00984A6F">
            <w:pPr>
              <w:rPr>
                <w:sz w:val="20"/>
                <w:szCs w:val="20"/>
              </w:rPr>
            </w:pPr>
          </w:p>
        </w:tc>
        <w:tc>
          <w:tcPr>
            <w:tcW w:w="539" w:type="dxa"/>
          </w:tcPr>
          <w:p w14:paraId="707B3BFE" w14:textId="77777777" w:rsidR="00984A6F" w:rsidRDefault="00984A6F">
            <w:pPr>
              <w:rPr>
                <w:sz w:val="20"/>
                <w:szCs w:val="20"/>
              </w:rPr>
            </w:pPr>
          </w:p>
        </w:tc>
        <w:tc>
          <w:tcPr>
            <w:tcW w:w="539" w:type="dxa"/>
          </w:tcPr>
          <w:p w14:paraId="42B9694C" w14:textId="77777777" w:rsidR="00984A6F" w:rsidRDefault="00984A6F">
            <w:pPr>
              <w:rPr>
                <w:sz w:val="20"/>
                <w:szCs w:val="20"/>
              </w:rPr>
            </w:pPr>
          </w:p>
        </w:tc>
        <w:tc>
          <w:tcPr>
            <w:tcW w:w="539" w:type="dxa"/>
          </w:tcPr>
          <w:p w14:paraId="5E096359" w14:textId="77777777" w:rsidR="00984A6F" w:rsidRDefault="00984A6F">
            <w:pPr>
              <w:rPr>
                <w:sz w:val="20"/>
                <w:szCs w:val="20"/>
              </w:rPr>
            </w:pPr>
          </w:p>
        </w:tc>
        <w:tc>
          <w:tcPr>
            <w:tcW w:w="539" w:type="dxa"/>
          </w:tcPr>
          <w:p w14:paraId="293525E6" w14:textId="77777777" w:rsidR="00984A6F" w:rsidRDefault="00984A6F">
            <w:pPr>
              <w:rPr>
                <w:sz w:val="20"/>
                <w:szCs w:val="20"/>
              </w:rPr>
            </w:pPr>
          </w:p>
        </w:tc>
        <w:tc>
          <w:tcPr>
            <w:tcW w:w="539" w:type="dxa"/>
          </w:tcPr>
          <w:p w14:paraId="76FBB6DA" w14:textId="77777777" w:rsidR="00984A6F" w:rsidRDefault="00984A6F">
            <w:pPr>
              <w:rPr>
                <w:sz w:val="20"/>
                <w:szCs w:val="20"/>
              </w:rPr>
            </w:pPr>
          </w:p>
        </w:tc>
        <w:tc>
          <w:tcPr>
            <w:tcW w:w="539" w:type="dxa"/>
          </w:tcPr>
          <w:p w14:paraId="31A2C248" w14:textId="77777777" w:rsidR="00984A6F" w:rsidRDefault="00984A6F">
            <w:pPr>
              <w:rPr>
                <w:sz w:val="20"/>
                <w:szCs w:val="20"/>
              </w:rPr>
            </w:pPr>
          </w:p>
        </w:tc>
        <w:tc>
          <w:tcPr>
            <w:tcW w:w="539" w:type="dxa"/>
          </w:tcPr>
          <w:p w14:paraId="4C040C03" w14:textId="77777777" w:rsidR="00984A6F" w:rsidRDefault="00984A6F">
            <w:pPr>
              <w:rPr>
                <w:sz w:val="20"/>
                <w:szCs w:val="20"/>
              </w:rPr>
            </w:pPr>
          </w:p>
        </w:tc>
        <w:tc>
          <w:tcPr>
            <w:tcW w:w="539" w:type="dxa"/>
          </w:tcPr>
          <w:p w14:paraId="524DB059" w14:textId="77777777" w:rsidR="00984A6F" w:rsidRDefault="00984A6F">
            <w:pPr>
              <w:rPr>
                <w:sz w:val="20"/>
                <w:szCs w:val="20"/>
              </w:rPr>
            </w:pPr>
          </w:p>
        </w:tc>
        <w:tc>
          <w:tcPr>
            <w:tcW w:w="539" w:type="dxa"/>
          </w:tcPr>
          <w:p w14:paraId="09731755" w14:textId="77777777" w:rsidR="00984A6F" w:rsidRDefault="00984A6F">
            <w:pPr>
              <w:rPr>
                <w:sz w:val="20"/>
                <w:szCs w:val="20"/>
              </w:rPr>
            </w:pPr>
          </w:p>
        </w:tc>
        <w:tc>
          <w:tcPr>
            <w:tcW w:w="539" w:type="dxa"/>
          </w:tcPr>
          <w:p w14:paraId="1F52D8EB" w14:textId="77777777" w:rsidR="00984A6F" w:rsidRDefault="00984A6F">
            <w:pPr>
              <w:rPr>
                <w:sz w:val="20"/>
                <w:szCs w:val="20"/>
              </w:rPr>
            </w:pPr>
          </w:p>
        </w:tc>
        <w:tc>
          <w:tcPr>
            <w:tcW w:w="539" w:type="dxa"/>
          </w:tcPr>
          <w:p w14:paraId="48587C53" w14:textId="77777777" w:rsidR="00984A6F" w:rsidRDefault="00984A6F">
            <w:pPr>
              <w:rPr>
                <w:sz w:val="20"/>
                <w:szCs w:val="20"/>
              </w:rPr>
            </w:pPr>
          </w:p>
        </w:tc>
        <w:tc>
          <w:tcPr>
            <w:tcW w:w="539" w:type="dxa"/>
          </w:tcPr>
          <w:p w14:paraId="05A64489" w14:textId="77777777" w:rsidR="00984A6F" w:rsidRDefault="00984A6F">
            <w:pPr>
              <w:rPr>
                <w:sz w:val="20"/>
                <w:szCs w:val="20"/>
              </w:rPr>
            </w:pPr>
          </w:p>
        </w:tc>
        <w:tc>
          <w:tcPr>
            <w:tcW w:w="539" w:type="dxa"/>
          </w:tcPr>
          <w:p w14:paraId="56A00114" w14:textId="77777777" w:rsidR="00984A6F" w:rsidRDefault="00984A6F">
            <w:pPr>
              <w:rPr>
                <w:sz w:val="20"/>
                <w:szCs w:val="20"/>
              </w:rPr>
            </w:pPr>
          </w:p>
        </w:tc>
      </w:tr>
    </w:tbl>
    <w:p w14:paraId="6B707898" w14:textId="77777777" w:rsidR="00984A6F" w:rsidRDefault="00984A6F">
      <w:pPr>
        <w:rPr>
          <w:sz w:val="20"/>
          <w:szCs w:val="20"/>
        </w:rPr>
      </w:pPr>
    </w:p>
    <w:p w14:paraId="504AA9DD" w14:textId="77777777" w:rsidR="000C4CA0" w:rsidRDefault="000C4CA0" w:rsidP="000C4CA0">
      <w:pPr>
        <w:rPr>
          <w:sz w:val="20"/>
          <w:szCs w:val="20"/>
        </w:rPr>
      </w:pPr>
      <w:r>
        <w:rPr>
          <w:sz w:val="20"/>
          <w:szCs w:val="20"/>
        </w:rPr>
        <w:t xml:space="preserve">Let us construct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6B28665A" w14:textId="77777777" w:rsidR="00430B5B" w:rsidRDefault="00430B5B">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lastRenderedPageBreak/>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lastRenderedPageBreak/>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lastRenderedPageBreak/>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 xml:space="preserve">state-action </w:t>
      </w:r>
      <w:r w:rsidRPr="006051F2">
        <w:rPr>
          <w:sz w:val="20"/>
          <w:szCs w:val="20"/>
        </w:rPr>
        <w:lastRenderedPageBreak/>
        <w:t>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lastRenderedPageBreak/>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lastRenderedPageBreak/>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F52E7"/>
    <w:rsid w:val="002A240D"/>
    <w:rsid w:val="00324CC2"/>
    <w:rsid w:val="00366BF4"/>
    <w:rsid w:val="0037730E"/>
    <w:rsid w:val="003E06B7"/>
    <w:rsid w:val="00410069"/>
    <w:rsid w:val="00412682"/>
    <w:rsid w:val="00430B5B"/>
    <w:rsid w:val="00454751"/>
    <w:rsid w:val="00472438"/>
    <w:rsid w:val="005037F8"/>
    <w:rsid w:val="005433E4"/>
    <w:rsid w:val="00554C53"/>
    <w:rsid w:val="005803B5"/>
    <w:rsid w:val="006E5783"/>
    <w:rsid w:val="006F22B4"/>
    <w:rsid w:val="00730757"/>
    <w:rsid w:val="00741B4E"/>
    <w:rsid w:val="007F2E8A"/>
    <w:rsid w:val="008C6D07"/>
    <w:rsid w:val="008D7FF0"/>
    <w:rsid w:val="00930884"/>
    <w:rsid w:val="00932841"/>
    <w:rsid w:val="0093669E"/>
    <w:rsid w:val="00952D58"/>
    <w:rsid w:val="00984A6F"/>
    <w:rsid w:val="009B34C2"/>
    <w:rsid w:val="00A52D34"/>
    <w:rsid w:val="00A7055B"/>
    <w:rsid w:val="00AD6E73"/>
    <w:rsid w:val="00AE5917"/>
    <w:rsid w:val="00C10A69"/>
    <w:rsid w:val="00C34093"/>
    <w:rsid w:val="00C63642"/>
    <w:rsid w:val="00C94803"/>
    <w:rsid w:val="00CA1FF3"/>
    <w:rsid w:val="00CA7873"/>
    <w:rsid w:val="00CD4F1F"/>
    <w:rsid w:val="00D26BDD"/>
    <w:rsid w:val="00D34DC7"/>
    <w:rsid w:val="00D8595C"/>
    <w:rsid w:val="00DE41DD"/>
    <w:rsid w:val="00E1019A"/>
    <w:rsid w:val="00F60B8A"/>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2024-02-17T00:27:00Z</dcterms:created>
  <dcterms:modified xsi:type="dcterms:W3CDTF">2024-02-17T00:27:00Z</dcterms:modified>
</cp:coreProperties>
</file>