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5FAE363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0"/>
            <w:szCs w:val="20"/>
          </w:rPr>
          <m:t>i</m:t>
        </m:r>
        <m:r>
          <w:rPr>
            <w:rFonts w:ascii="Cambria Math" w:hAnsi="Cambria Math"/>
            <w:sz w:val="20"/>
            <w:szCs w:val="20"/>
          </w:rPr>
          <m:t>=1..16</m:t>
        </m:r>
      </m:oMath>
      <w:r>
        <w:rPr>
          <w:sz w:val="20"/>
          <w:szCs w:val="20"/>
        </w:rPr>
        <w:t xml:space="preserve"> </w:t>
      </w:r>
      <w:r w:rsidR="00932841">
        <w:rPr>
          <w:sz w:val="20"/>
          <w:szCs w:val="20"/>
        </w:rPr>
        <w:t>and w</w:t>
      </w:r>
      <w:r w:rsidR="00932841">
        <w:rPr>
          <w:sz w:val="20"/>
          <w:szCs w:val="20"/>
        </w:rPr>
        <w:t xml:space="preserve">e set </w:t>
      </w:r>
      <m:oMath>
        <m:r>
          <w:rPr>
            <w:rFonts w:ascii="Cambria Math" w:hAnsi="Cambria Math"/>
            <w:sz w:val="20"/>
            <w:szCs w:val="20"/>
          </w:rPr>
          <m:t>p</m:t>
        </m:r>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 xml:space="preserve">, </m:t>
        </m:r>
        <m:r>
          <w:rPr>
            <w:rFonts w:ascii="Cambria Math" w:hAnsi="Cambria Math"/>
            <w:sz w:val="20"/>
            <w:szCs w:val="20"/>
          </w:rPr>
          <m:t>q</m:t>
        </m:r>
        <m:r>
          <w:rPr>
            <w:rFonts w:ascii="Cambria Math" w:hAnsi="Cambria Math"/>
            <w:sz w:val="20"/>
            <w:szCs w:val="20"/>
          </w:rPr>
          <m:t>=</m:t>
        </m:r>
        <m:r>
          <w:rPr>
            <w:rFonts w:ascii="Cambria Math" w:hAnsi="Cambria Math"/>
            <w:sz w:val="20"/>
            <w:szCs w:val="20"/>
          </w:rPr>
          <m:t>l</m:t>
        </m:r>
        <m:r>
          <w:rPr>
            <w:rFonts w:ascii="Cambria Math" w:hAnsi="Cambria Math"/>
            <w:sz w:val="20"/>
            <w:szCs w:val="20"/>
          </w:rPr>
          <m:t xml:space="preserve"> % 4</m:t>
        </m:r>
      </m:oMath>
      <w:r w:rsidR="00932841">
        <w:rPr>
          <w:sz w:val="20"/>
          <w:szCs w:val="20"/>
        </w:rPr>
        <w:t>.</w:t>
      </w:r>
    </w:p>
    <w:p w14:paraId="01EC7A5F" w14:textId="7F19A6BD"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m:t>
            </m:r>
            <m:r>
              <w:rPr>
                <w:rFonts w:ascii="Cambria Math" w:hAnsi="Cambria Math"/>
                <w:sz w:val="20"/>
                <w:szCs w:val="20"/>
              </w:rPr>
              <m:t>,</m:t>
            </m:r>
            <m:r>
              <w:rPr>
                <w:rFonts w:ascii="Cambria Math" w:hAnsi="Cambria Math"/>
                <w:sz w:val="20"/>
                <w:szCs w:val="20"/>
              </w:rPr>
              <m:t>q</m:t>
            </m:r>
          </m:e>
        </m:d>
        <m:r>
          <w:rPr>
            <w:rFonts w:ascii="Cambria Math" w:hAnsi="Cambria Math"/>
            <w:sz w:val="20"/>
            <w:szCs w:val="20"/>
          </w:rPr>
          <m:t xml:space="preserve">, </m:t>
        </m:r>
        <m:r>
          <w:rPr>
            <w:rFonts w:ascii="Cambria Math" w:hAnsi="Cambria Math"/>
            <w:sz w:val="20"/>
            <w:szCs w:val="20"/>
          </w:rPr>
          <m:t>p</m:t>
        </m:r>
        <m:r>
          <w:rPr>
            <w:rFonts w:ascii="Cambria Math" w:hAnsi="Cambria Math"/>
            <w:sz w:val="20"/>
            <w:szCs w:val="20"/>
          </w:rPr>
          <m:t>,</m:t>
        </m:r>
        <m:r>
          <w:rPr>
            <w:rFonts w:ascii="Cambria Math" w:hAnsi="Cambria Math"/>
            <w:sz w:val="20"/>
            <w:szCs w:val="20"/>
          </w:rPr>
          <m:t>q</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1,16</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952D58"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89ECBD8" w14:textId="62F177DA" w:rsidR="007F2E8A"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lastRenderedPageBreak/>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lastRenderedPageBreak/>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 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r>
          <w:rPr>
            <w:rFonts w:ascii="Cambria Math" w:hAnsi="Cambria Math"/>
            <w:sz w:val="20"/>
            <w:szCs w:val="20"/>
          </w:rPr>
          <m:t>=</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 xml:space="preserve">                (</w:t>
      </w:r>
      <w:r w:rsidR="00DE41DD">
        <w:rPr>
          <w:sz w:val="20"/>
          <w:szCs w:val="20"/>
        </w:rPr>
        <w:t>A.13</w:t>
      </w:r>
      <w:r>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r w:rsidR="00132AF6">
        <w:rPr>
          <w:sz w:val="20"/>
          <w:szCs w:val="20"/>
        </w:rPr>
        <w:t>A.16</w:t>
      </w:r>
      <w:r>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145E6F"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Pr>
          <w:sz w:val="20"/>
          <w:szCs w:val="20"/>
        </w:rPr>
        <w:t xml:space="preserve">      (</w:t>
      </w:r>
      <w:r w:rsidR="00132AF6">
        <w:rPr>
          <w:sz w:val="20"/>
          <w:szCs w:val="20"/>
        </w:rPr>
        <w:t>A.17</w:t>
      </w:r>
      <w:r>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A.18</w:t>
      </w:r>
      <w:r>
        <w:rPr>
          <w:sz w:val="20"/>
          <w:szCs w:val="20"/>
        </w:rPr>
        <w:t>)</w:t>
      </w:r>
    </w:p>
    <w:p w14:paraId="4BF78082" w14:textId="77777777" w:rsidR="00145E6F" w:rsidRDefault="00145E6F" w:rsidP="00145E6F">
      <w:pPr>
        <w:rPr>
          <w:sz w:val="20"/>
          <w:szCs w:val="20"/>
        </w:rPr>
      </w:pPr>
    </w:p>
    <w:p w14:paraId="7109C661" w14:textId="70807D9E"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A.19</w:t>
      </w:r>
      <w:r>
        <w:rPr>
          <w:sz w:val="20"/>
          <w:szCs w:val="20"/>
        </w:rPr>
        <w:t>)</w:t>
      </w:r>
    </w:p>
    <w:p w14:paraId="1F0C5833" w14:textId="77777777" w:rsidR="00145E6F" w:rsidRDefault="00145E6F" w:rsidP="00145E6F">
      <w:pPr>
        <w:rPr>
          <w:sz w:val="20"/>
          <w:szCs w:val="20"/>
        </w:rPr>
      </w:pPr>
    </w:p>
    <w:p w14:paraId="37A051CD" w14:textId="2B1F616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sidR="00132AF6">
        <w:rPr>
          <w:sz w:val="20"/>
          <w:szCs w:val="20"/>
        </w:rPr>
        <w:t>A.20</w:t>
      </w:r>
      <w:r>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145E6F"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sz w:val="20"/>
          <w:szCs w:val="20"/>
        </w:rPr>
        <w:t xml:space="preserve">        (</w:t>
      </w:r>
      <w:r w:rsidR="00132AF6">
        <w:rPr>
          <w:sz w:val="20"/>
          <w:szCs w:val="20"/>
        </w:rPr>
        <w:t>A.22</w:t>
      </w:r>
      <w:r>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w:lastRenderedPageBreak/>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sidR="00AE5917">
        <w:rPr>
          <w:sz w:val="20"/>
          <w:szCs w:val="20"/>
        </w:rPr>
        <w:t>25</w:t>
      </w:r>
      <w:r>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26</w:t>
      </w:r>
      <w:r>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27</w:t>
      </w:r>
      <w:r>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w:lastRenderedPageBreak/>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sidR="00AE5917">
        <w:rPr>
          <w:sz w:val="20"/>
          <w:szCs w:val="20"/>
        </w:rPr>
        <w:t>28</w:t>
      </w:r>
      <w:r>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132AF6"/>
    <w:rsid w:val="00145E6F"/>
    <w:rsid w:val="001F52E7"/>
    <w:rsid w:val="002A240D"/>
    <w:rsid w:val="00324CC2"/>
    <w:rsid w:val="00366BF4"/>
    <w:rsid w:val="0037730E"/>
    <w:rsid w:val="00410069"/>
    <w:rsid w:val="00412682"/>
    <w:rsid w:val="00454751"/>
    <w:rsid w:val="00472438"/>
    <w:rsid w:val="005037F8"/>
    <w:rsid w:val="005433E4"/>
    <w:rsid w:val="00554C53"/>
    <w:rsid w:val="005803B5"/>
    <w:rsid w:val="006E5783"/>
    <w:rsid w:val="00741B4E"/>
    <w:rsid w:val="007F2E8A"/>
    <w:rsid w:val="008C6D07"/>
    <w:rsid w:val="00930884"/>
    <w:rsid w:val="00932841"/>
    <w:rsid w:val="0093669E"/>
    <w:rsid w:val="00952D58"/>
    <w:rsid w:val="00A52D34"/>
    <w:rsid w:val="00A7055B"/>
    <w:rsid w:val="00AD6E73"/>
    <w:rsid w:val="00AE5917"/>
    <w:rsid w:val="00C10A69"/>
    <w:rsid w:val="00C34093"/>
    <w:rsid w:val="00C63642"/>
    <w:rsid w:val="00C94803"/>
    <w:rsid w:val="00CA1FF3"/>
    <w:rsid w:val="00CA7873"/>
    <w:rsid w:val="00CD4F1F"/>
    <w:rsid w:val="00D34DC7"/>
    <w:rsid w:val="00D8595C"/>
    <w:rsid w:val="00DE41DD"/>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47</cp:revision>
  <dcterms:created xsi:type="dcterms:W3CDTF">2023-11-25T00:37:00Z</dcterms:created>
  <dcterms:modified xsi:type="dcterms:W3CDTF">2024-01-22T04:05:00Z</dcterms:modified>
</cp:coreProperties>
</file>