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2A526D82" w14:textId="19D8D3BA" w:rsidR="00EC2EA2" w:rsidRDefault="00EC2EA2" w:rsidP="003345EF">
      <w:r>
        <w:t xml:space="preserve">In terms of moves, the rules of a game have the following structure. For the first move, the rules specify whether it is to be a personal move or a chance move. </w:t>
      </w:r>
      <w:r w:rsidR="00E27D62">
        <w:t xml:space="preserve">If it is a </w:t>
      </w:r>
      <w:r w:rsidR="00E27D62" w:rsidRPr="00E27D62">
        <w:rPr>
          <w:i/>
          <w:iCs/>
        </w:rPr>
        <w:t>personal move</w:t>
      </w:r>
      <w:r w:rsidR="00E27D62">
        <w:t xml:space="preserve">, the rules list the available alternatives and specify which player is to make the choice; if it is a </w:t>
      </w:r>
      <w:r w:rsidR="00E27D62" w:rsidRPr="00E27D62">
        <w:rPr>
          <w:i/>
          <w:iCs/>
        </w:rPr>
        <w:t>chance move</w:t>
      </w:r>
      <w:r w:rsidR="00E27D62">
        <w:t xml:space="preserve">, the rules list available alternatives and specify the probabilities with which they are to be selected. </w:t>
      </w:r>
      <w:r w:rsidR="00B16343">
        <w:t xml:space="preserve">For moves after the first, say the </w:t>
      </w:r>
      <m:oMath>
        <m:r>
          <w:rPr>
            <w:rFonts w:ascii="Cambria Math" w:hAnsi="Cambria Math"/>
          </w:rPr>
          <m:t>k</m:t>
        </m:r>
      </m:oMath>
      <w:r w:rsidR="00B16343">
        <w:t xml:space="preserve">th move with </w:t>
      </w:r>
      <m:oMath>
        <m:r>
          <w:rPr>
            <w:rFonts w:ascii="Cambria Math" w:hAnsi="Cambria Math"/>
          </w:rPr>
          <m:t>k &gt; 1</m:t>
        </m:r>
      </m:oMath>
      <w:r w:rsidR="00B16343">
        <w:t xml:space="preserve">, the rules specify, as </w:t>
      </w:r>
      <w:r w:rsidR="00B16343" w:rsidRPr="00B16343">
        <w:rPr>
          <w:i/>
          <w:iCs/>
        </w:rPr>
        <w:t xml:space="preserve">a function of the choices and outcomes at the first </w:t>
      </w:r>
      <m:oMath>
        <m:r>
          <w:rPr>
            <w:rFonts w:ascii="Cambria Math" w:hAnsi="Cambria Math"/>
          </w:rPr>
          <m:t>k – 1</m:t>
        </m:r>
      </m:oMath>
      <w:r w:rsidR="00B16343" w:rsidRPr="00B16343">
        <w:rPr>
          <w:i/>
          <w:iCs/>
        </w:rPr>
        <w:t xml:space="preserve"> moves</w:t>
      </w:r>
      <w:r w:rsidR="00B16343">
        <w:t xml:space="preserve"> (a) whether the </w:t>
      </w:r>
      <m:oMath>
        <m:r>
          <w:rPr>
            <w:rFonts w:ascii="Cambria Math" w:hAnsi="Cambria Math"/>
          </w:rPr>
          <m:t>k</m:t>
        </m:r>
      </m:oMath>
      <w:r w:rsidR="00B16343">
        <w:t xml:space="preserve">th move is to be a personal move or a chance move, (b) if a chance move, the alternatives and their probabilities of selection, and (c) if a personal move, the alternatives, the player who is to make the choice, and the information concerning the choices and outcomes at the first </w:t>
      </w:r>
      <m:oMath>
        <m:r>
          <w:rPr>
            <w:rFonts w:ascii="Cambria Math" w:hAnsi="Cambria Math"/>
          </w:rPr>
          <m:t>k – 1</m:t>
        </m:r>
      </m:oMath>
      <w:r w:rsidR="00B16343">
        <w:t xml:space="preserve"> moves that is given to him before he makes his choice. Finally, the rules specify, as a function of the choices and outcomes at the successive moves, when the game shall terminate and the score, not necessarily numerical, that is to be assigned to each player. </w:t>
      </w:r>
    </w:p>
    <w:p w14:paraId="76C25EAF" w14:textId="77777777" w:rsidR="00EC2EA2" w:rsidRDefault="00EC2EA2" w:rsidP="003345EF"/>
    <w:p w14:paraId="116FEAD3" w14:textId="45EFDA69" w:rsidR="00B16343" w:rsidRDefault="00B16343" w:rsidP="00B16343">
      <w:r>
        <w:t>Notes:</w:t>
      </w:r>
    </w:p>
    <w:p w14:paraId="5689799F" w14:textId="1DA759E6" w:rsidR="00B16343" w:rsidRDefault="00B16343" w:rsidP="00B16343">
      <w:r>
        <w:t xml:space="preserve">( 1 ) For </w:t>
      </w:r>
      <m:oMath>
        <m:r>
          <w:rPr>
            <w:rFonts w:ascii="Cambria Math" w:hAnsi="Cambria Math"/>
          </w:rPr>
          <m:t>k &gt; 1</m:t>
        </m:r>
      </m:oMath>
      <w:r>
        <w:t xml:space="preserve">, the characteristics of the </w:t>
      </w:r>
      <m:oMath>
        <m:r>
          <w:rPr>
            <w:rFonts w:ascii="Cambria Math" w:hAnsi="Cambria Math"/>
          </w:rPr>
          <m:t>k</m:t>
        </m:r>
      </m:oMath>
      <w:r>
        <w:t xml:space="preserve">th move depend on the results of previous moves. </w:t>
      </w:r>
    </w:p>
    <w:p w14:paraId="47E37284" w14:textId="53C17AB9" w:rsidR="00B16343" w:rsidRDefault="00B16343" w:rsidP="00B16343">
      <w:r>
        <w:t xml:space="preserve">( 2 ) </w:t>
      </w:r>
    </w:p>
    <w:p w14:paraId="4B748697" w14:textId="77777777" w:rsidR="00B16343" w:rsidRDefault="00B16343"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w:lastRenderedPageBreak/>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309023C1" w:rsidR="00CC19F3" w:rsidRDefault="00CC19F3" w:rsidP="00E1672E">
      <w:pPr>
        <w:rPr>
          <w:rFonts w:eastAsiaTheme="minorEastAsia"/>
        </w:rPr>
      </w:pPr>
      <w:r>
        <w:t>“If a situation should arise in which I am informed t</w:t>
      </w:r>
      <w:r w:rsidRPr="00CC19F3">
        <w:t xml:space="preserve">hat it </w:t>
      </w:r>
      <w:r>
        <w:t xml:space="preserve">is my move and I am given information </w:t>
      </w:r>
      <m:oMath>
        <m:r>
          <m:rPr>
            <m:scr m:val="fraktur"/>
          </m:rPr>
          <w:rPr>
            <w:rFonts w:ascii="Cambria Math" w:hAnsi="Cambria Math"/>
          </w:rPr>
          <m:t>z</m:t>
        </m:r>
      </m:oMath>
      <w:r>
        <w:t xml:space="preserve"> about the results from previous moves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r w:rsidR="008F796A" w:rsidRPr="008F796A">
        <w:rPr>
          <w:rFonts w:ascii="Times New Roman" w:eastAsiaTheme="minorEastAsia" w:hAnsi="Times New Roman" w:cs="Times New Roman"/>
        </w:rPr>
        <w:t>i)</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particular information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how the final simplification of the game – the normal form – is obtained, by taking into account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denotes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lastRenderedPageBreak/>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games it is usual to treat first a special class of games, </w:t>
      </w:r>
      <w:r w:rsidRPr="009245DC">
        <w:rPr>
          <w:rFonts w:eastAsiaTheme="minorEastAsia"/>
          <w:i/>
          <w:iCs/>
        </w:rPr>
        <w:t>the two-person zero-sum games</w:t>
      </w:r>
      <w:r>
        <w:rPr>
          <w:rFonts w:eastAsiaTheme="minorEastAsia"/>
        </w:rPr>
        <w:t>. The theory of these games is particularly simple and complete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Thus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Thus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not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lastRenderedPageBreak/>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M(x,y)=</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or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player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manner in which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lastRenderedPageBreak/>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w:t>
      </w:r>
      <w:r>
        <w:lastRenderedPageBreak/>
        <w:t xml:space="preserve">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5244"/>
    <w:multiLevelType w:val="hybridMultilevel"/>
    <w:tmpl w:val="6AEEA3E2"/>
    <w:lvl w:ilvl="0" w:tplc="697AE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2"/>
  </w:num>
  <w:num w:numId="3" w16cid:durableId="2775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6343"/>
    <w:rsid w:val="00B17443"/>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27D62"/>
    <w:rsid w:val="00E3493B"/>
    <w:rsid w:val="00E40600"/>
    <w:rsid w:val="00E50FE4"/>
    <w:rsid w:val="00E631A4"/>
    <w:rsid w:val="00E64F9A"/>
    <w:rsid w:val="00E65A87"/>
    <w:rsid w:val="00E72DFE"/>
    <w:rsid w:val="00E92B76"/>
    <w:rsid w:val="00EB25F9"/>
    <w:rsid w:val="00EB5F31"/>
    <w:rsid w:val="00EC2EA2"/>
    <w:rsid w:val="00EE2526"/>
    <w:rsid w:val="00EE44A0"/>
    <w:rsid w:val="00EE62EA"/>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cp:lastPrinted>2022-12-07T01:42:00Z</cp:lastPrinted>
  <dcterms:created xsi:type="dcterms:W3CDTF">2023-06-23T23:55:00Z</dcterms:created>
  <dcterms:modified xsi:type="dcterms:W3CDTF">2025-04-04T04:44:00Z</dcterms:modified>
</cp:coreProperties>
</file>