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7076F6" w:rsidRDefault="007076F6">
          <w:pPr>
            <w:pStyle w:val="TOCHeading"/>
            <w:rPr>
              <w:sz w:val="19"/>
              <w:szCs w:val="19"/>
            </w:rPr>
          </w:pPr>
          <w:r w:rsidRPr="007076F6">
            <w:rPr>
              <w:sz w:val="19"/>
              <w:szCs w:val="19"/>
            </w:rPr>
            <w:t>Table of Contents</w:t>
          </w:r>
        </w:p>
        <w:p w14:paraId="36330BE9" w14:textId="2C5D00E8" w:rsidR="007076F6" w:rsidRPr="007076F6" w:rsidRDefault="007076F6">
          <w:pPr>
            <w:pStyle w:val="TOC1"/>
            <w:tabs>
              <w:tab w:val="right" w:leader="dot" w:pos="9350"/>
            </w:tabs>
            <w:rPr>
              <w:noProof/>
              <w:sz w:val="19"/>
              <w:szCs w:val="19"/>
            </w:rPr>
          </w:pPr>
          <w:r w:rsidRPr="007076F6">
            <w:rPr>
              <w:b w:val="0"/>
              <w:bCs w:val="0"/>
              <w:sz w:val="19"/>
              <w:szCs w:val="19"/>
            </w:rPr>
            <w:fldChar w:fldCharType="begin"/>
          </w:r>
          <w:r w:rsidRPr="007076F6">
            <w:rPr>
              <w:sz w:val="19"/>
              <w:szCs w:val="19"/>
            </w:rPr>
            <w:instrText xml:space="preserve"> TOC \o "1-3" \h \z \u </w:instrText>
          </w:r>
          <w:r w:rsidRPr="007076F6">
            <w:rPr>
              <w:b w:val="0"/>
              <w:bCs w:val="0"/>
              <w:sz w:val="19"/>
              <w:szCs w:val="19"/>
            </w:rPr>
            <w:fldChar w:fldCharType="separate"/>
          </w:r>
          <w:hyperlink w:anchor="_Toc195112052" w:history="1">
            <w:r w:rsidRPr="007076F6">
              <w:rPr>
                <w:rStyle w:val="Hyperlink"/>
                <w:noProof/>
                <w:sz w:val="19"/>
                <w:szCs w:val="19"/>
              </w:rPr>
              <w:t>Introductory Notes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_Toc195112052 \h </w:instrText>
            </w:r>
            <w:r w:rsidRPr="007076F6">
              <w:rPr>
                <w:noProof/>
                <w:webHidden/>
                <w:sz w:val="19"/>
                <w:szCs w:val="19"/>
              </w:rPr>
            </w:r>
            <w:r w:rsidRPr="007076F6">
              <w:rPr>
                <w:noProof/>
                <w:webHidden/>
                <w:sz w:val="19"/>
                <w:szCs w:val="19"/>
              </w:rPr>
              <w:fldChar w:fldCharType="separate"/>
            </w:r>
            <w:r w:rsidR="00A004E4">
              <w:rPr>
                <w:noProof/>
                <w:webHidden/>
                <w:sz w:val="19"/>
                <w:szCs w:val="19"/>
              </w:rPr>
              <w:t>1</w:t>
            </w:r>
            <w:r w:rsidRPr="007076F6">
              <w:rPr>
                <w:noProof/>
                <w:webHidden/>
                <w:sz w:val="19"/>
                <w:szCs w:val="19"/>
              </w:rPr>
              <w:fldChar w:fldCharType="end"/>
            </w:r>
          </w:hyperlink>
        </w:p>
        <w:p w14:paraId="5F5CB013" w14:textId="5A1F9040" w:rsidR="007076F6" w:rsidRPr="007076F6" w:rsidRDefault="007076F6">
          <w:pPr>
            <w:pStyle w:val="TOC1"/>
            <w:tabs>
              <w:tab w:val="right" w:leader="dot" w:pos="9350"/>
            </w:tabs>
            <w:rPr>
              <w:noProof/>
              <w:sz w:val="19"/>
              <w:szCs w:val="19"/>
            </w:rPr>
          </w:pPr>
          <w:hyperlink w:anchor="_Toc195112053" w:history="1">
            <w:r w:rsidRPr="007076F6">
              <w:rPr>
                <w:rStyle w:val="Hyperlink"/>
                <w:noProof/>
                <w:sz w:val="19"/>
                <w:szCs w:val="19"/>
              </w:rPr>
              <w:t>Intro to Policy Optimization</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_Toc195112053 \h </w:instrText>
            </w:r>
            <w:r w:rsidRPr="007076F6">
              <w:rPr>
                <w:noProof/>
                <w:webHidden/>
                <w:sz w:val="19"/>
                <w:szCs w:val="19"/>
              </w:rPr>
            </w:r>
            <w:r w:rsidRPr="007076F6">
              <w:rPr>
                <w:noProof/>
                <w:webHidden/>
                <w:sz w:val="19"/>
                <w:szCs w:val="19"/>
              </w:rPr>
              <w:fldChar w:fldCharType="separate"/>
            </w:r>
            <w:r w:rsidR="00A004E4">
              <w:rPr>
                <w:noProof/>
                <w:webHidden/>
                <w:sz w:val="19"/>
                <w:szCs w:val="19"/>
              </w:rPr>
              <w:t>4</w:t>
            </w:r>
            <w:r w:rsidRPr="007076F6">
              <w:rPr>
                <w:noProof/>
                <w:webHidden/>
                <w:sz w:val="19"/>
                <w:szCs w:val="19"/>
              </w:rPr>
              <w:fldChar w:fldCharType="end"/>
            </w:r>
          </w:hyperlink>
        </w:p>
        <w:p w14:paraId="01DBBF38" w14:textId="4BAA2C43" w:rsidR="007076F6" w:rsidRPr="007076F6" w:rsidRDefault="007076F6">
          <w:pPr>
            <w:pStyle w:val="TOC2"/>
            <w:tabs>
              <w:tab w:val="right" w:leader="dot" w:pos="9350"/>
            </w:tabs>
            <w:rPr>
              <w:noProof/>
              <w:sz w:val="19"/>
              <w:szCs w:val="19"/>
            </w:rPr>
          </w:pPr>
          <w:hyperlink w:anchor="_Toc195112054" w:history="1">
            <w:r w:rsidRPr="007076F6">
              <w:rPr>
                <w:rStyle w:val="Hyperlink"/>
                <w:noProof/>
                <w:sz w:val="19"/>
                <w:szCs w:val="19"/>
              </w:rPr>
              <w:t>Baselines in Policy Gradients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_Toc195112054 \h </w:instrText>
            </w:r>
            <w:r w:rsidRPr="007076F6">
              <w:rPr>
                <w:noProof/>
                <w:webHidden/>
                <w:sz w:val="19"/>
                <w:szCs w:val="19"/>
              </w:rPr>
            </w:r>
            <w:r w:rsidRPr="007076F6">
              <w:rPr>
                <w:noProof/>
                <w:webHidden/>
                <w:sz w:val="19"/>
                <w:szCs w:val="19"/>
              </w:rPr>
              <w:fldChar w:fldCharType="separate"/>
            </w:r>
            <w:r w:rsidR="00A004E4">
              <w:rPr>
                <w:noProof/>
                <w:webHidden/>
                <w:sz w:val="19"/>
                <w:szCs w:val="19"/>
              </w:rPr>
              <w:t>6</w:t>
            </w:r>
            <w:r w:rsidRPr="007076F6">
              <w:rPr>
                <w:noProof/>
                <w:webHidden/>
                <w:sz w:val="19"/>
                <w:szCs w:val="19"/>
              </w:rPr>
              <w:fldChar w:fldCharType="end"/>
            </w:r>
          </w:hyperlink>
        </w:p>
        <w:p w14:paraId="6643738D" w14:textId="3840CBC7" w:rsidR="007076F6" w:rsidRPr="007076F6" w:rsidRDefault="007076F6">
          <w:pPr>
            <w:pStyle w:val="TOC2"/>
            <w:tabs>
              <w:tab w:val="right" w:leader="dot" w:pos="9350"/>
            </w:tabs>
            <w:rPr>
              <w:noProof/>
              <w:sz w:val="19"/>
              <w:szCs w:val="19"/>
            </w:rPr>
          </w:pPr>
          <w:hyperlink w:anchor="_Toc195112055" w:history="1">
            <w:r w:rsidRPr="007076F6">
              <w:rPr>
                <w:rStyle w:val="Hyperlink"/>
                <w:noProof/>
                <w:sz w:val="19"/>
                <w:szCs w:val="19"/>
              </w:rPr>
              <w:t>Other Forms of the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_Toc195112055 \h </w:instrText>
            </w:r>
            <w:r w:rsidRPr="007076F6">
              <w:rPr>
                <w:noProof/>
                <w:webHidden/>
                <w:sz w:val="19"/>
                <w:szCs w:val="19"/>
              </w:rPr>
            </w:r>
            <w:r w:rsidRPr="007076F6">
              <w:rPr>
                <w:noProof/>
                <w:webHidden/>
                <w:sz w:val="19"/>
                <w:szCs w:val="19"/>
              </w:rPr>
              <w:fldChar w:fldCharType="separate"/>
            </w:r>
            <w:r w:rsidR="00A004E4">
              <w:rPr>
                <w:noProof/>
                <w:webHidden/>
                <w:sz w:val="19"/>
                <w:szCs w:val="19"/>
              </w:rPr>
              <w:t>7</w:t>
            </w:r>
            <w:r w:rsidRPr="007076F6">
              <w:rPr>
                <w:noProof/>
                <w:webHidden/>
                <w:sz w:val="19"/>
                <w:szCs w:val="19"/>
              </w:rPr>
              <w:fldChar w:fldCharType="end"/>
            </w:r>
          </w:hyperlink>
        </w:p>
        <w:p w14:paraId="44B4C882" w14:textId="45E13D20" w:rsidR="007076F6" w:rsidRPr="007076F6" w:rsidRDefault="007076F6">
          <w:pPr>
            <w:pStyle w:val="TOC2"/>
            <w:tabs>
              <w:tab w:val="right" w:leader="dot" w:pos="9350"/>
            </w:tabs>
            <w:rPr>
              <w:noProof/>
              <w:sz w:val="19"/>
              <w:szCs w:val="19"/>
            </w:rPr>
          </w:pPr>
          <w:hyperlink w:anchor="_Toc195112056" w:history="1">
            <w:r w:rsidRPr="007076F6">
              <w:rPr>
                <w:rStyle w:val="Hyperlink"/>
                <w:noProof/>
                <w:sz w:val="19"/>
                <w:szCs w:val="19"/>
              </w:rPr>
              <w:t>Vanilla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_Toc195112056 \h </w:instrText>
            </w:r>
            <w:r w:rsidRPr="007076F6">
              <w:rPr>
                <w:noProof/>
                <w:webHidden/>
                <w:sz w:val="19"/>
                <w:szCs w:val="19"/>
              </w:rPr>
            </w:r>
            <w:r w:rsidRPr="007076F6">
              <w:rPr>
                <w:noProof/>
                <w:webHidden/>
                <w:sz w:val="19"/>
                <w:szCs w:val="19"/>
              </w:rPr>
              <w:fldChar w:fldCharType="separate"/>
            </w:r>
            <w:r w:rsidR="00A004E4">
              <w:rPr>
                <w:noProof/>
                <w:webHidden/>
                <w:sz w:val="19"/>
                <w:szCs w:val="19"/>
              </w:rPr>
              <w:t>8</w:t>
            </w:r>
            <w:r w:rsidRPr="007076F6">
              <w:rPr>
                <w:noProof/>
                <w:webHidden/>
                <w:sz w:val="19"/>
                <w:szCs w:val="19"/>
              </w:rPr>
              <w:fldChar w:fldCharType="end"/>
            </w:r>
          </w:hyperlink>
        </w:p>
        <w:p w14:paraId="667CFD5D" w14:textId="3A82B5EB" w:rsidR="007076F6" w:rsidRPr="007076F6" w:rsidRDefault="007076F6">
          <w:pPr>
            <w:pStyle w:val="TOC2"/>
            <w:tabs>
              <w:tab w:val="right" w:leader="dot" w:pos="9350"/>
            </w:tabs>
            <w:rPr>
              <w:noProof/>
              <w:sz w:val="19"/>
              <w:szCs w:val="19"/>
            </w:rPr>
          </w:pPr>
          <w:hyperlink w:anchor="_Toc195112057" w:history="1">
            <w:r w:rsidRPr="007076F6">
              <w:rPr>
                <w:rStyle w:val="Hyperlink"/>
                <w:noProof/>
                <w:sz w:val="19"/>
                <w:szCs w:val="19"/>
              </w:rPr>
              <w:t>Generalized Advantage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_Toc195112057 \h </w:instrText>
            </w:r>
            <w:r w:rsidRPr="007076F6">
              <w:rPr>
                <w:noProof/>
                <w:webHidden/>
                <w:sz w:val="19"/>
                <w:szCs w:val="19"/>
              </w:rPr>
            </w:r>
            <w:r w:rsidRPr="007076F6">
              <w:rPr>
                <w:noProof/>
                <w:webHidden/>
                <w:sz w:val="19"/>
                <w:szCs w:val="19"/>
              </w:rPr>
              <w:fldChar w:fldCharType="separate"/>
            </w:r>
            <w:r w:rsidR="00A004E4">
              <w:rPr>
                <w:noProof/>
                <w:webHidden/>
                <w:sz w:val="19"/>
                <w:szCs w:val="19"/>
              </w:rPr>
              <w:t>9</w:t>
            </w:r>
            <w:r w:rsidRPr="007076F6">
              <w:rPr>
                <w:noProof/>
                <w:webHidden/>
                <w:sz w:val="19"/>
                <w:szCs w:val="19"/>
              </w:rPr>
              <w:fldChar w:fldCharType="end"/>
            </w:r>
          </w:hyperlink>
        </w:p>
        <w:p w14:paraId="6410C654" w14:textId="1A6626E0" w:rsidR="007076F6" w:rsidRPr="007076F6" w:rsidRDefault="007076F6">
          <w:pPr>
            <w:pStyle w:val="TOC3"/>
            <w:tabs>
              <w:tab w:val="right" w:leader="dot" w:pos="9350"/>
            </w:tabs>
            <w:rPr>
              <w:noProof/>
              <w:sz w:val="19"/>
              <w:szCs w:val="19"/>
            </w:rPr>
          </w:pPr>
          <w:hyperlink w:anchor="_Toc195112058" w:history="1">
            <m:oMath>
              <m:r>
                <w:rPr>
                  <w:rStyle w:val="Hyperlink"/>
                  <w:rFonts w:ascii="Cambria Math" w:hAnsi="Cambria Math"/>
                  <w:noProof/>
                  <w:sz w:val="19"/>
                  <w:szCs w:val="19"/>
                </w:rPr>
                <m:t>γ</m:t>
              </m:r>
            </m:oMath>
            <w:r w:rsidRPr="007076F6">
              <w:rPr>
                <w:rStyle w:val="Hyperlink"/>
                <w:noProof/>
                <w:sz w:val="19"/>
                <w:szCs w:val="19"/>
              </w:rPr>
              <w:t>-just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_Toc195112058 \h </w:instrText>
            </w:r>
            <w:r w:rsidRPr="007076F6">
              <w:rPr>
                <w:noProof/>
                <w:webHidden/>
                <w:sz w:val="19"/>
                <w:szCs w:val="19"/>
              </w:rPr>
            </w:r>
            <w:r w:rsidRPr="007076F6">
              <w:rPr>
                <w:noProof/>
                <w:webHidden/>
                <w:sz w:val="19"/>
                <w:szCs w:val="19"/>
              </w:rPr>
              <w:fldChar w:fldCharType="separate"/>
            </w:r>
            <w:r w:rsidR="00A004E4">
              <w:rPr>
                <w:noProof/>
                <w:webHidden/>
                <w:sz w:val="19"/>
                <w:szCs w:val="19"/>
              </w:rPr>
              <w:t>10</w:t>
            </w:r>
            <w:r w:rsidRPr="007076F6">
              <w:rPr>
                <w:noProof/>
                <w:webHidden/>
                <w:sz w:val="19"/>
                <w:szCs w:val="19"/>
              </w:rPr>
              <w:fldChar w:fldCharType="end"/>
            </w:r>
          </w:hyperlink>
        </w:p>
        <w:p w14:paraId="729573C8" w14:textId="5B389A1E" w:rsidR="007076F6" w:rsidRPr="007076F6" w:rsidRDefault="007076F6">
          <w:pPr>
            <w:pStyle w:val="TOC1"/>
            <w:tabs>
              <w:tab w:val="right" w:leader="dot" w:pos="9350"/>
            </w:tabs>
            <w:rPr>
              <w:noProof/>
              <w:sz w:val="19"/>
              <w:szCs w:val="19"/>
            </w:rPr>
          </w:pPr>
          <w:hyperlink w:anchor="_Toc195112059" w:history="1">
            <w:r w:rsidRPr="007076F6">
              <w:rPr>
                <w:rStyle w:val="Hyperlink"/>
                <w:noProof/>
                <w:sz w:val="19"/>
                <w:szCs w:val="19"/>
              </w:rPr>
              <w:t>References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_Toc195112059 \h </w:instrText>
            </w:r>
            <w:r w:rsidRPr="007076F6">
              <w:rPr>
                <w:noProof/>
                <w:webHidden/>
                <w:sz w:val="19"/>
                <w:szCs w:val="19"/>
              </w:rPr>
            </w:r>
            <w:r w:rsidRPr="007076F6">
              <w:rPr>
                <w:noProof/>
                <w:webHidden/>
                <w:sz w:val="19"/>
                <w:szCs w:val="19"/>
              </w:rPr>
              <w:fldChar w:fldCharType="separate"/>
            </w:r>
            <w:r w:rsidR="00A004E4">
              <w:rPr>
                <w:noProof/>
                <w:webHidden/>
                <w:sz w:val="19"/>
                <w:szCs w:val="19"/>
              </w:rPr>
              <w:t>13</w:t>
            </w:r>
            <w:r w:rsidRPr="007076F6">
              <w:rPr>
                <w:noProof/>
                <w:webHidden/>
                <w:sz w:val="19"/>
                <w:szCs w:val="19"/>
              </w:rPr>
              <w:fldChar w:fldCharType="end"/>
            </w:r>
          </w:hyperlink>
        </w:p>
        <w:p w14:paraId="6A87B5BE" w14:textId="57605004" w:rsidR="007076F6" w:rsidRPr="007076F6" w:rsidRDefault="007076F6">
          <w:pPr>
            <w:pStyle w:val="TOC1"/>
            <w:tabs>
              <w:tab w:val="right" w:leader="dot" w:pos="9350"/>
            </w:tabs>
            <w:rPr>
              <w:noProof/>
              <w:sz w:val="19"/>
              <w:szCs w:val="19"/>
            </w:rPr>
          </w:pPr>
          <w:hyperlink w:anchor="_Toc195112060" w:history="1">
            <w:r w:rsidRPr="007076F6">
              <w:rPr>
                <w:rStyle w:val="Hyperlink"/>
                <w:noProof/>
                <w:sz w:val="19"/>
                <w:szCs w:val="19"/>
              </w:rPr>
              <w:t>Appendix</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_Toc195112060 \h </w:instrText>
            </w:r>
            <w:r w:rsidRPr="007076F6">
              <w:rPr>
                <w:noProof/>
                <w:webHidden/>
                <w:sz w:val="19"/>
                <w:szCs w:val="19"/>
              </w:rPr>
            </w:r>
            <w:r w:rsidRPr="007076F6">
              <w:rPr>
                <w:noProof/>
                <w:webHidden/>
                <w:sz w:val="19"/>
                <w:szCs w:val="19"/>
              </w:rPr>
              <w:fldChar w:fldCharType="separate"/>
            </w:r>
            <w:r w:rsidR="00A004E4">
              <w:rPr>
                <w:noProof/>
                <w:webHidden/>
                <w:sz w:val="19"/>
                <w:szCs w:val="19"/>
              </w:rPr>
              <w:t>14</w:t>
            </w:r>
            <w:r w:rsidRPr="007076F6">
              <w:rPr>
                <w:noProof/>
                <w:webHidden/>
                <w:sz w:val="19"/>
                <w:szCs w:val="19"/>
              </w:rPr>
              <w:fldChar w:fldCharType="end"/>
            </w:r>
          </w:hyperlink>
        </w:p>
        <w:p w14:paraId="73541E0D" w14:textId="52FDEE74" w:rsidR="007076F6" w:rsidRPr="007076F6" w:rsidRDefault="007076F6">
          <w:pPr>
            <w:pStyle w:val="TOC2"/>
            <w:tabs>
              <w:tab w:val="right" w:leader="dot" w:pos="9350"/>
            </w:tabs>
            <w:rPr>
              <w:noProof/>
              <w:sz w:val="19"/>
              <w:szCs w:val="19"/>
            </w:rPr>
          </w:pPr>
          <w:hyperlink w:anchor="_Toc195112061" w:history="1">
            <w:r w:rsidRPr="007076F6">
              <w:rPr>
                <w:rStyle w:val="Hyperlink"/>
                <w:noProof/>
                <w:sz w:val="19"/>
                <w:szCs w:val="19"/>
              </w:rPr>
              <w:t>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_Toc195112061 \h </w:instrText>
            </w:r>
            <w:r w:rsidRPr="007076F6">
              <w:rPr>
                <w:noProof/>
                <w:webHidden/>
                <w:sz w:val="19"/>
                <w:szCs w:val="19"/>
              </w:rPr>
            </w:r>
            <w:r w:rsidRPr="007076F6">
              <w:rPr>
                <w:noProof/>
                <w:webHidden/>
                <w:sz w:val="19"/>
                <w:szCs w:val="19"/>
              </w:rPr>
              <w:fldChar w:fldCharType="separate"/>
            </w:r>
            <w:r w:rsidR="00A004E4">
              <w:rPr>
                <w:noProof/>
                <w:webHidden/>
                <w:sz w:val="19"/>
                <w:szCs w:val="19"/>
              </w:rPr>
              <w:t>14</w:t>
            </w:r>
            <w:r w:rsidRPr="007076F6">
              <w:rPr>
                <w:noProof/>
                <w:webHidden/>
                <w:sz w:val="19"/>
                <w:szCs w:val="19"/>
              </w:rPr>
              <w:fldChar w:fldCharType="end"/>
            </w:r>
          </w:hyperlink>
        </w:p>
        <w:p w14:paraId="7D11C55E" w14:textId="2678B6AF" w:rsidR="007076F6" w:rsidRPr="007076F6" w:rsidRDefault="007076F6">
          <w:pPr>
            <w:pStyle w:val="TOC3"/>
            <w:tabs>
              <w:tab w:val="right" w:leader="dot" w:pos="9350"/>
            </w:tabs>
            <w:rPr>
              <w:noProof/>
              <w:sz w:val="19"/>
              <w:szCs w:val="19"/>
            </w:rPr>
          </w:pPr>
          <w:hyperlink w:anchor="_Toc195112062" w:history="1">
            <w:r w:rsidRPr="007076F6">
              <w:rPr>
                <w:rStyle w:val="Hyperlink"/>
                <w:noProof/>
                <w:sz w:val="19"/>
                <w:szCs w:val="19"/>
              </w:rPr>
              <w:t>Gradient Bandit Algorithm and 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_Toc195112062 \h </w:instrText>
            </w:r>
            <w:r w:rsidRPr="007076F6">
              <w:rPr>
                <w:noProof/>
                <w:webHidden/>
                <w:sz w:val="19"/>
                <w:szCs w:val="19"/>
              </w:rPr>
            </w:r>
            <w:r w:rsidRPr="007076F6">
              <w:rPr>
                <w:noProof/>
                <w:webHidden/>
                <w:sz w:val="19"/>
                <w:szCs w:val="19"/>
              </w:rPr>
              <w:fldChar w:fldCharType="separate"/>
            </w:r>
            <w:r w:rsidR="00A004E4">
              <w:rPr>
                <w:noProof/>
                <w:webHidden/>
                <w:sz w:val="19"/>
                <w:szCs w:val="19"/>
              </w:rPr>
              <w:t>14</w:t>
            </w:r>
            <w:r w:rsidRPr="007076F6">
              <w:rPr>
                <w:noProof/>
                <w:webHidden/>
                <w:sz w:val="19"/>
                <w:szCs w:val="19"/>
              </w:rPr>
              <w:fldChar w:fldCharType="end"/>
            </w:r>
          </w:hyperlink>
        </w:p>
        <w:p w14:paraId="77F0DEC4" w14:textId="2219B356" w:rsidR="007076F6" w:rsidRPr="007076F6" w:rsidRDefault="007076F6">
          <w:pPr>
            <w:rPr>
              <w:szCs w:val="19"/>
            </w:rPr>
          </w:pPr>
          <w:r w:rsidRPr="007076F6">
            <w:rPr>
              <w:b/>
              <w:bCs/>
              <w:noProof/>
              <w:szCs w:val="19"/>
            </w:rPr>
            <w:fldChar w:fldCharType="end"/>
          </w:r>
        </w:p>
      </w:sdtContent>
    </w:sdt>
    <w:p w14:paraId="37715BF9" w14:textId="77777777" w:rsidR="007076F6" w:rsidRDefault="007076F6"/>
    <w:p w14:paraId="089DCE3D" w14:textId="77777777" w:rsidR="007076F6" w:rsidRDefault="007076F6"/>
    <w:p w14:paraId="41931D9D" w14:textId="595B4D5F" w:rsidR="00C31931" w:rsidRDefault="00C31931" w:rsidP="001924A7">
      <w:pPr>
        <w:pStyle w:val="Heading1"/>
      </w:pPr>
      <w:bookmarkStart w:id="0" w:name="_Toc195112052"/>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F1283"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BB7AB"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492F5"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D3FB2"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928A4"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EED05"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1ABB8"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45A95"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FB76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C7E07"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m:rPr>
            <m:sty m:val="bi"/>
          </m:rPr>
          <w:rPr>
            <w:rFonts w:ascii="Cambria Math" w:eastAsiaTheme="minorEastAsia" w:hAnsi="Cambria Math"/>
          </w:rPr>
          <m:t>→∎→</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179A272E" w14:textId="5817B354" w:rsidR="00A004E4" w:rsidRDefault="00A004E4" w:rsidP="00A004E4">
      <w:pPr>
        <w:pStyle w:val="Heading1"/>
        <w:rPr>
          <w:rFonts w:eastAsiaTheme="minorEastAsia"/>
        </w:rPr>
      </w:pPr>
      <w:r>
        <w:rPr>
          <w:rFonts w:eastAsiaTheme="minorEastAsia"/>
        </w:rPr>
        <w:t xml:space="preserve">Policy Gradient Methods </w:t>
      </w:r>
    </w:p>
    <w:p w14:paraId="3FD3FFBC" w14:textId="77777777" w:rsidR="00A004E4" w:rsidRDefault="00A004E4" w:rsidP="00EA5FA1">
      <w:pPr>
        <w:rPr>
          <w:rFonts w:eastAsiaTheme="minorEastAsia"/>
        </w:rPr>
      </w:pPr>
    </w:p>
    <w:p w14:paraId="27830600" w14:textId="77777777" w:rsidR="008E5F30" w:rsidRDefault="008E5F30" w:rsidP="008E5F30">
      <w:pPr>
        <w:rPr>
          <w:rFonts w:eastAsiaTheme="minorEastAsia"/>
        </w:rPr>
      </w:pPr>
      <w:r>
        <w:rPr>
          <w:rFonts w:eastAsiaTheme="minorEastAsia"/>
        </w:rPr>
        <w:t xml:space="preserve">Again, </w:t>
      </w:r>
      <w:r>
        <w:rPr>
          <w:rFonts w:eastAsiaTheme="minorEastAsia"/>
        </w:rPr>
        <w:t xml:space="preserve">Goal in RL: maximize the expected reward - </w:t>
      </w:r>
    </w:p>
    <w:p w14:paraId="6889E42C" w14:textId="77777777" w:rsidR="008E5F30" w:rsidRDefault="008E5F30" w:rsidP="008E5F30">
      <w:pPr>
        <w:rPr>
          <w:rFonts w:eastAsiaTheme="minorEastAsia"/>
        </w:rPr>
      </w:pPr>
    </w:p>
    <w:p w14:paraId="0D035257" w14:textId="77777777" w:rsidR="008E5F30" w:rsidRDefault="008E5F30" w:rsidP="008E5F30">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22CBC5B" w14:textId="537A8BBA" w:rsidR="00A004E4" w:rsidRDefault="00A004E4" w:rsidP="00EA5FA1">
      <w:pPr>
        <w:rPr>
          <w:rFonts w:eastAsiaTheme="minorEastAsia"/>
        </w:rPr>
      </w:pPr>
    </w:p>
    <w:p w14:paraId="3D7BC295" w14:textId="46E8BB67" w:rsidR="008E5F30" w:rsidRDefault="008E5F30" w:rsidP="00EA5FA1">
      <w:pPr>
        <w:rPr>
          <w:rFonts w:eastAsiaTheme="minorEastAsia"/>
        </w:rPr>
      </w:pPr>
      <w:r w:rsidRPr="008E5F30">
        <w:rPr>
          <w:rFonts w:eastAsiaTheme="minorEastAsia"/>
          <w:u w:val="single"/>
        </w:rPr>
        <w:t>Intuition</w:t>
      </w:r>
      <w:r>
        <w:rPr>
          <w:rFonts w:eastAsiaTheme="minorEastAsia"/>
        </w:rPr>
        <w:t>:</w:t>
      </w:r>
    </w:p>
    <w:p w14:paraId="2A22977B" w14:textId="77777777" w:rsidR="008E5F30" w:rsidRDefault="008E5F30" w:rsidP="00EA5FA1">
      <w:pPr>
        <w:rPr>
          <w:rFonts w:eastAsiaTheme="minorEastAsia"/>
        </w:rPr>
      </w:pPr>
    </w:p>
    <w:p w14:paraId="5BC68883" w14:textId="15FD6614" w:rsidR="00A004E4" w:rsidRDefault="008E5F30" w:rsidP="00EA5FA1">
      <w:pPr>
        <w:rPr>
          <w:rFonts w:eastAsiaTheme="minorEastAsia"/>
        </w:rPr>
      </w:pPr>
      <w:r>
        <w:rPr>
          <w:rFonts w:eastAsiaTheme="minorEastAsia"/>
        </w:rPr>
        <w:t>collect a set of trajectories and</w:t>
      </w:r>
    </w:p>
    <w:p w14:paraId="4653AD4D" w14:textId="678994AC" w:rsidR="008E5F30" w:rsidRDefault="008E5F30" w:rsidP="00EA5FA1">
      <w:pPr>
        <w:rPr>
          <w:rFonts w:eastAsiaTheme="minorEastAsia"/>
        </w:rPr>
      </w:pPr>
      <w:r>
        <w:rPr>
          <w:rFonts w:eastAsiaTheme="minorEastAsia"/>
        </w:rPr>
        <w:t>1 ) Make good trajectories more probable and make the bad trajectories less probable (Actor-Critic method (A2C), generalized advantage estimator (GAE))</w:t>
      </w:r>
    </w:p>
    <w:p w14:paraId="36B78604" w14:textId="77777777" w:rsidR="008E5F30" w:rsidRDefault="008E5F30" w:rsidP="00EA5FA1">
      <w:pPr>
        <w:rPr>
          <w:rFonts w:eastAsiaTheme="minorEastAsia"/>
        </w:rPr>
      </w:pPr>
    </w:p>
    <w:p w14:paraId="5D7D52A0" w14:textId="77777777" w:rsidR="008E5F30" w:rsidRDefault="008E5F30" w:rsidP="00EA5FA1">
      <w:pPr>
        <w:rPr>
          <w:rFonts w:eastAsiaTheme="minorEastAsia"/>
        </w:rPr>
      </w:pPr>
    </w:p>
    <w:p w14:paraId="6ED614F1" w14:textId="04123832" w:rsidR="00A004E4" w:rsidRDefault="00A004E4" w:rsidP="00EA5FA1">
      <w:pPr>
        <w:rPr>
          <w:rFonts w:eastAsiaTheme="minorEastAsia"/>
        </w:rPr>
      </w:pPr>
      <w:r w:rsidRPr="00A004E4">
        <w:rPr>
          <w:rFonts w:eastAsiaTheme="minorEastAsia"/>
          <w:color w:val="FF0000"/>
        </w:rPr>
        <w:t>//TODO: finish this section (mostly Lecture 2 of John Schulman)</w:t>
      </w: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12053"/>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lastRenderedPageBreak/>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bookmarkStart w:id="2" w:name="_Toc195112054"/>
      <w:r>
        <w:rPr>
          <w:rFonts w:eastAsiaTheme="minorEastAsia"/>
        </w:rPr>
        <w:t>Baselines in Policy Gradients</w:t>
      </w:r>
      <w:bookmarkEnd w:id="2"/>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3" w:name="_Toc195112055"/>
      <w:r>
        <w:rPr>
          <w:rFonts w:eastAsiaTheme="minorEastAsia"/>
        </w:rPr>
        <w:t>Other Forms of the Policy Gradient</w:t>
      </w:r>
      <w:bookmarkEnd w:id="3"/>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4" w:name="_Toc195112056"/>
      <w:r w:rsidRPr="009A41A9">
        <w:t>Vanilla Policy Gradient</w:t>
      </w:r>
      <w:bookmarkEnd w:id="4"/>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5" w:name="_Toc195112057"/>
      <w:r>
        <w:t>Generalized Advantage Estimator</w:t>
      </w:r>
      <w:bookmarkEnd w:id="5"/>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6" w:name="_Toc195112058"/>
      <m:oMath>
        <m:r>
          <w:rPr>
            <w:rFonts w:ascii="Cambria Math" w:hAnsi="Cambria Math"/>
          </w:rPr>
          <m:t>γ</m:t>
        </m:r>
      </m:oMath>
      <w:r>
        <w:rPr>
          <w:rFonts w:eastAsiaTheme="minorEastAsia"/>
        </w:rPr>
        <w:t>-just estimator</w:t>
      </w:r>
      <w:bookmarkEnd w:id="6"/>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lastRenderedPageBreak/>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7" w:name="_Toc195112059"/>
      <w:r>
        <w:lastRenderedPageBreak/>
        <w:t>References</w:t>
      </w:r>
      <w:bookmarkEnd w:id="7"/>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8" w:name="_Toc195112060"/>
      <w:r>
        <w:t>Appendix</w:t>
      </w:r>
      <w:bookmarkEnd w:id="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9" w:name="_Toc195112061"/>
      <w:r>
        <w:t>Stochastic Gradient Descent</w:t>
      </w:r>
      <w:bookmarkEnd w:id="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0" w:name="_Toc195112062"/>
      <w:r>
        <w:t>Gradient Bandit Algorithm and Stochastic Gradient Descent</w:t>
      </w:r>
      <w:bookmarkEnd w:id="1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F1185"/>
    <w:rsid w:val="002F74B6"/>
    <w:rsid w:val="00352B50"/>
    <w:rsid w:val="00353076"/>
    <w:rsid w:val="00362186"/>
    <w:rsid w:val="00375C0A"/>
    <w:rsid w:val="003864D1"/>
    <w:rsid w:val="00390954"/>
    <w:rsid w:val="003A1646"/>
    <w:rsid w:val="003B1B0E"/>
    <w:rsid w:val="003B4FD3"/>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E5F30"/>
    <w:rsid w:val="008F1CEF"/>
    <w:rsid w:val="0092653B"/>
    <w:rsid w:val="00950E19"/>
    <w:rsid w:val="00952F61"/>
    <w:rsid w:val="00953A53"/>
    <w:rsid w:val="009A41A9"/>
    <w:rsid w:val="009C1487"/>
    <w:rsid w:val="00A004E4"/>
    <w:rsid w:val="00A41F57"/>
    <w:rsid w:val="00A44E09"/>
    <w:rsid w:val="00A70BD0"/>
    <w:rsid w:val="00A80A7D"/>
    <w:rsid w:val="00A87C79"/>
    <w:rsid w:val="00A91825"/>
    <w:rsid w:val="00A9705D"/>
    <w:rsid w:val="00AB3C22"/>
    <w:rsid w:val="00AB6240"/>
    <w:rsid w:val="00AC05D9"/>
    <w:rsid w:val="00AD1083"/>
    <w:rsid w:val="00B149C0"/>
    <w:rsid w:val="00B56DC8"/>
    <w:rsid w:val="00B81C57"/>
    <w:rsid w:val="00B908FB"/>
    <w:rsid w:val="00B9732A"/>
    <w:rsid w:val="00BA7FA0"/>
    <w:rsid w:val="00BD1B7F"/>
    <w:rsid w:val="00BD4BFA"/>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 Type="http://schemas.openxmlformats.org/officeDocument/2006/relationships/webSettings" Target="webSettings.xm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D6449-B64B-1746-853C-915C04992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6504</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cp:lastPrinted>2025-04-10T01:47:00Z</cp:lastPrinted>
  <dcterms:created xsi:type="dcterms:W3CDTF">2025-04-10T01:47:00Z</dcterms:created>
  <dcterms:modified xsi:type="dcterms:W3CDTF">2025-04-10T02:39:00Z</dcterms:modified>
</cp:coreProperties>
</file>