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2C5D00E8"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A004E4">
              <w:rPr>
                <w:noProof/>
                <w:webHidden/>
                <w:sz w:val="19"/>
                <w:szCs w:val="19"/>
              </w:rPr>
              <w:t>1</w:t>
            </w:r>
            <w:r w:rsidRPr="007076F6">
              <w:rPr>
                <w:noProof/>
                <w:webHidden/>
                <w:sz w:val="19"/>
                <w:szCs w:val="19"/>
              </w:rPr>
              <w:fldChar w:fldCharType="end"/>
            </w:r>
          </w:hyperlink>
        </w:p>
        <w:p w14:paraId="5F5CB013" w14:textId="5A1F9040"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A004E4">
              <w:rPr>
                <w:noProof/>
                <w:webHidden/>
                <w:sz w:val="19"/>
                <w:szCs w:val="19"/>
              </w:rPr>
              <w:t>4</w:t>
            </w:r>
            <w:r w:rsidRPr="007076F6">
              <w:rPr>
                <w:noProof/>
                <w:webHidden/>
                <w:sz w:val="19"/>
                <w:szCs w:val="19"/>
              </w:rPr>
              <w:fldChar w:fldCharType="end"/>
            </w:r>
          </w:hyperlink>
        </w:p>
        <w:p w14:paraId="01DBBF38" w14:textId="4BAA2C43"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A004E4">
              <w:rPr>
                <w:noProof/>
                <w:webHidden/>
                <w:sz w:val="19"/>
                <w:szCs w:val="19"/>
              </w:rPr>
              <w:t>6</w:t>
            </w:r>
            <w:r w:rsidRPr="007076F6">
              <w:rPr>
                <w:noProof/>
                <w:webHidden/>
                <w:sz w:val="19"/>
                <w:szCs w:val="19"/>
              </w:rPr>
              <w:fldChar w:fldCharType="end"/>
            </w:r>
          </w:hyperlink>
        </w:p>
        <w:p w14:paraId="6643738D" w14:textId="3840CBC7"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A004E4">
              <w:rPr>
                <w:noProof/>
                <w:webHidden/>
                <w:sz w:val="19"/>
                <w:szCs w:val="19"/>
              </w:rPr>
              <w:t>7</w:t>
            </w:r>
            <w:r w:rsidRPr="007076F6">
              <w:rPr>
                <w:noProof/>
                <w:webHidden/>
                <w:sz w:val="19"/>
                <w:szCs w:val="19"/>
              </w:rPr>
              <w:fldChar w:fldCharType="end"/>
            </w:r>
          </w:hyperlink>
        </w:p>
        <w:p w14:paraId="44B4C882" w14:textId="45E13D20"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A004E4">
              <w:rPr>
                <w:noProof/>
                <w:webHidden/>
                <w:sz w:val="19"/>
                <w:szCs w:val="19"/>
              </w:rPr>
              <w:t>8</w:t>
            </w:r>
            <w:r w:rsidRPr="007076F6">
              <w:rPr>
                <w:noProof/>
                <w:webHidden/>
                <w:sz w:val="19"/>
                <w:szCs w:val="19"/>
              </w:rPr>
              <w:fldChar w:fldCharType="end"/>
            </w:r>
          </w:hyperlink>
        </w:p>
        <w:p w14:paraId="667CFD5D" w14:textId="3A82B5EB"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A004E4">
              <w:rPr>
                <w:noProof/>
                <w:webHidden/>
                <w:sz w:val="19"/>
                <w:szCs w:val="19"/>
              </w:rPr>
              <w:t>9</w:t>
            </w:r>
            <w:r w:rsidRPr="007076F6">
              <w:rPr>
                <w:noProof/>
                <w:webHidden/>
                <w:sz w:val="19"/>
                <w:szCs w:val="19"/>
              </w:rPr>
              <w:fldChar w:fldCharType="end"/>
            </w:r>
          </w:hyperlink>
        </w:p>
        <w:p w14:paraId="6410C654" w14:textId="1A6626E0"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A004E4">
              <w:rPr>
                <w:noProof/>
                <w:webHidden/>
                <w:sz w:val="19"/>
                <w:szCs w:val="19"/>
              </w:rPr>
              <w:t>10</w:t>
            </w:r>
            <w:r w:rsidRPr="007076F6">
              <w:rPr>
                <w:noProof/>
                <w:webHidden/>
                <w:sz w:val="19"/>
                <w:szCs w:val="19"/>
              </w:rPr>
              <w:fldChar w:fldCharType="end"/>
            </w:r>
          </w:hyperlink>
        </w:p>
        <w:p w14:paraId="729573C8" w14:textId="5B389A1E"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A004E4">
              <w:rPr>
                <w:noProof/>
                <w:webHidden/>
                <w:sz w:val="19"/>
                <w:szCs w:val="19"/>
              </w:rPr>
              <w:t>13</w:t>
            </w:r>
            <w:r w:rsidRPr="007076F6">
              <w:rPr>
                <w:noProof/>
                <w:webHidden/>
                <w:sz w:val="19"/>
                <w:szCs w:val="19"/>
              </w:rPr>
              <w:fldChar w:fldCharType="end"/>
            </w:r>
          </w:hyperlink>
        </w:p>
        <w:p w14:paraId="6A87B5BE" w14:textId="57605004"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3541E0D" w14:textId="52FDEE74"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D11C55E" w14:textId="2678B6AF"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F2D3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16443"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8648F"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14DA2"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BAD8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70B5E"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F90EC"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7676B"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D96A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B6972"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179A272E" w14:textId="5817B354" w:rsidR="00A004E4" w:rsidRDefault="00A004E4" w:rsidP="00A004E4">
      <w:pPr>
        <w:pStyle w:val="Heading1"/>
        <w:rPr>
          <w:rFonts w:eastAsiaTheme="minorEastAsia"/>
        </w:rPr>
      </w:pPr>
      <w:r>
        <w:rPr>
          <w:rFonts w:eastAsiaTheme="minorEastAsia"/>
        </w:rPr>
        <w:t xml:space="preserve">Policy Gradient Methods </w:t>
      </w:r>
    </w:p>
    <w:p w14:paraId="3FD3FFBC" w14:textId="77777777" w:rsidR="00A004E4" w:rsidRDefault="00A004E4" w:rsidP="00EA5FA1">
      <w:pPr>
        <w:rPr>
          <w:rFonts w:eastAsiaTheme="minorEastAsia"/>
        </w:rPr>
      </w:pPr>
    </w:p>
    <w:p w14:paraId="27830600" w14:textId="77777777" w:rsidR="008E5F30" w:rsidRDefault="008E5F30" w:rsidP="008E5F30">
      <w:pPr>
        <w:rPr>
          <w:rFonts w:eastAsiaTheme="minorEastAsia"/>
        </w:rPr>
      </w:pPr>
      <w:r>
        <w:rPr>
          <w:rFonts w:eastAsiaTheme="minorEastAsia"/>
        </w:rPr>
        <w:t xml:space="preserve">Again, </w:t>
      </w:r>
      <w:r>
        <w:rPr>
          <w:rFonts w:eastAsiaTheme="minorEastAsia"/>
        </w:rPr>
        <w:t xml:space="preserve">Goal in RL: maximize the expected reward - </w:t>
      </w:r>
    </w:p>
    <w:p w14:paraId="6889E42C" w14:textId="77777777" w:rsidR="008E5F30" w:rsidRDefault="008E5F30" w:rsidP="008E5F30">
      <w:pPr>
        <w:rPr>
          <w:rFonts w:eastAsiaTheme="minorEastAsia"/>
        </w:rPr>
      </w:pPr>
    </w:p>
    <w:p w14:paraId="0D035257" w14:textId="77777777" w:rsidR="008E5F30" w:rsidRDefault="008E5F30" w:rsidP="008E5F30">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22CBC5B" w14:textId="537A8BBA" w:rsidR="00A004E4" w:rsidRDefault="00A004E4" w:rsidP="00EA5FA1">
      <w:pPr>
        <w:rPr>
          <w:rFonts w:eastAsiaTheme="minorEastAsia"/>
        </w:rPr>
      </w:pPr>
    </w:p>
    <w:p w14:paraId="3D7BC295" w14:textId="46E8BB67" w:rsidR="008E5F30" w:rsidRDefault="008E5F30" w:rsidP="00EA5FA1">
      <w:pPr>
        <w:rPr>
          <w:rFonts w:eastAsiaTheme="minorEastAsia"/>
        </w:rPr>
      </w:pPr>
      <w:r w:rsidRPr="008E5F30">
        <w:rPr>
          <w:rFonts w:eastAsiaTheme="minorEastAsia"/>
          <w:u w:val="single"/>
        </w:rPr>
        <w:t>Intuition</w:t>
      </w:r>
      <w:r>
        <w:rPr>
          <w:rFonts w:eastAsiaTheme="minorEastAsia"/>
        </w:rPr>
        <w:t>:</w:t>
      </w:r>
    </w:p>
    <w:p w14:paraId="2A22977B" w14:textId="77777777" w:rsidR="008E5F30" w:rsidRDefault="008E5F30" w:rsidP="00EA5FA1">
      <w:pPr>
        <w:rPr>
          <w:rFonts w:eastAsiaTheme="minorEastAsia"/>
        </w:rPr>
      </w:pPr>
    </w:p>
    <w:p w14:paraId="5BC68883" w14:textId="15FD6614" w:rsidR="00A004E4" w:rsidRDefault="008E5F30" w:rsidP="00EA5FA1">
      <w:pPr>
        <w:rPr>
          <w:rFonts w:eastAsiaTheme="minorEastAsia"/>
        </w:rPr>
      </w:pPr>
      <w:r>
        <w:rPr>
          <w:rFonts w:eastAsiaTheme="minorEastAsia"/>
        </w:rPr>
        <w:t>collect a set of trajectories and</w:t>
      </w:r>
    </w:p>
    <w:p w14:paraId="4653AD4D" w14:textId="32BBAF49" w:rsidR="008E5F30" w:rsidRDefault="008E5F30" w:rsidP="00EA5FA1">
      <w:pPr>
        <w:rPr>
          <w:rFonts w:eastAsiaTheme="minorEastAsia"/>
        </w:rPr>
      </w:pPr>
      <w:r>
        <w:rPr>
          <w:rFonts w:eastAsiaTheme="minorEastAsia"/>
        </w:rPr>
        <w:t xml:space="preserve">1 ) Make good trajectories more probable and make the bad trajectories less probable </w:t>
      </w:r>
    </w:p>
    <w:p w14:paraId="65406406" w14:textId="77777777" w:rsidR="003B68A7" w:rsidRDefault="003B68A7" w:rsidP="003B68A7">
      <w:pPr>
        <w:rPr>
          <w:rFonts w:eastAsiaTheme="minorEastAsia"/>
        </w:rPr>
      </w:pPr>
      <w:r>
        <w:rPr>
          <w:rFonts w:eastAsiaTheme="minorEastAsia"/>
        </w:rPr>
        <w:t xml:space="preserve">2 ) Make the good actions more probable </w:t>
      </w:r>
      <w:r>
        <w:rPr>
          <w:rFonts w:eastAsiaTheme="minorEastAsia"/>
        </w:rPr>
        <w:t>(Actor-Critic method (A2C), generalized advantage estimator (GAE))</w:t>
      </w:r>
    </w:p>
    <w:p w14:paraId="5B1FC80E" w14:textId="7066A3E4" w:rsidR="003B68A7" w:rsidRDefault="003B68A7" w:rsidP="00EA5FA1">
      <w:pPr>
        <w:rPr>
          <w:rFonts w:eastAsiaTheme="minorEastAsia"/>
        </w:rPr>
      </w:pPr>
      <w:r>
        <w:rPr>
          <w:rFonts w:eastAsiaTheme="minorEastAsia"/>
        </w:rPr>
        <w:t>3 ) Push actions toward good actions ( Deterministic Policy Gradient Algorithms (DPG), Stochastic Value Gradient (SVG) ) (see [45], [46])</w:t>
      </w:r>
    </w:p>
    <w:p w14:paraId="36B78604" w14:textId="63B2BD94" w:rsidR="008E5F30" w:rsidRDefault="003B68A7" w:rsidP="00EA5FA1">
      <w:pPr>
        <w:rPr>
          <w:rFonts w:eastAsiaTheme="minorEastAsia"/>
        </w:rPr>
      </w:pPr>
      <w:r>
        <w:rPr>
          <w:rFonts w:eastAsiaTheme="minorEastAsia"/>
        </w:rPr>
        <w:t xml:space="preserve"> </w:t>
      </w:r>
    </w:p>
    <w:p w14:paraId="5D7D52A0" w14:textId="77777777" w:rsidR="008E5F30" w:rsidRDefault="008E5F30" w:rsidP="00EA5FA1">
      <w:pPr>
        <w:rPr>
          <w:rFonts w:eastAsiaTheme="minorEastAsia"/>
        </w:rPr>
      </w:pPr>
    </w:p>
    <w:p w14:paraId="6ED614F1" w14:textId="04123832" w:rsidR="00A004E4" w:rsidRDefault="00A004E4" w:rsidP="00EA5FA1">
      <w:pPr>
        <w:rPr>
          <w:rFonts w:eastAsiaTheme="minorEastAsia"/>
        </w:rPr>
      </w:pPr>
      <w:r w:rsidRPr="00A004E4">
        <w:rPr>
          <w:rFonts w:eastAsiaTheme="minorEastAsia"/>
          <w:color w:val="FF0000"/>
        </w:rPr>
        <w:t>//TODO: finish this section (mostly Lecture 2 of John Schulman)</w:t>
      </w: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lastRenderedPageBreak/>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lastRenderedPageBreak/>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lastRenderedPageBreak/>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E5F30"/>
    <w:rsid w:val="008F1CEF"/>
    <w:rsid w:val="0092653B"/>
    <w:rsid w:val="00950E19"/>
    <w:rsid w:val="00952F61"/>
    <w:rsid w:val="00953A53"/>
    <w:rsid w:val="009A41A9"/>
    <w:rsid w:val="009C1487"/>
    <w:rsid w:val="00A004E4"/>
    <w:rsid w:val="00A41F57"/>
    <w:rsid w:val="00A44E09"/>
    <w:rsid w:val="00A70BD0"/>
    <w:rsid w:val="00A80A7D"/>
    <w:rsid w:val="00A87C79"/>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30E5-358A-E94D-ACB8-B12B3717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6617</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2025-04-10T01:47:00Z</cp:lastPrinted>
  <dcterms:created xsi:type="dcterms:W3CDTF">2025-04-10T01:47:00Z</dcterms:created>
  <dcterms:modified xsi:type="dcterms:W3CDTF">2025-04-10T02:58:00Z</dcterms:modified>
</cp:coreProperties>
</file>