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8A12FA"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36DD3"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AB44E"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4981C"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143DD"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DE3CF"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E5F08"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6225C"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696BB"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FD1B8"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2F35CD8B"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2594FE49"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13744980"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0BE4F573"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34ECF96E"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5171ED13"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7E01FAF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F2A8A87"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E14B61E"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371D3B2D"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lastRenderedPageBreak/>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r w:rsidRPr="009A41A9">
        <w:t>Vanilla Policy Gradient</w:t>
      </w:r>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13973C2E"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r>
        <w:t>Generalized Advantage Estimator</w:t>
      </w:r>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lastRenderedPageBreak/>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2)</w:t>
      </w:r>
    </w:p>
    <w:p w14:paraId="7499777D" w14:textId="77777777" w:rsidR="000F547A" w:rsidRDefault="000F547A" w:rsidP="00EA5FA1">
      <w:pPr>
        <w:rPr>
          <w:rFonts w:eastAsiaTheme="minorEastAsia"/>
        </w:rPr>
      </w:pPr>
    </w:p>
    <w:p w14:paraId="4D763A67" w14:textId="6407A7D0"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4B6A296D"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[36].</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m:oMath>
        <m:r>
          <w:rPr>
            <w:rFonts w:ascii="Cambria Math" w:hAnsi="Cambria Math"/>
          </w:rPr>
          <m:t>γ</m:t>
        </m:r>
      </m:oMath>
      <w:r>
        <w:rPr>
          <w:rFonts w:eastAsiaTheme="minorEastAsia"/>
        </w:rPr>
        <w:t>-just estimator</w:t>
      </w:r>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lastRenderedPageBreak/>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60569A4B"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0F6327">
        <w:rPr>
          <w:rFonts w:eastAsiaTheme="minorEastAsia"/>
        </w:rPr>
        <w:t>gae.</w:t>
      </w:r>
      <w:r>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w:t>
      </w:r>
      <w:r w:rsidR="000F6327">
        <w:rPr>
          <w:rFonts w:eastAsiaTheme="minorEastAsia"/>
        </w:rPr>
        <w:t>gae.</w:t>
      </w:r>
      <w:r>
        <w:rPr>
          <w:rFonts w:eastAsiaTheme="minorEastAsia"/>
        </w:rPr>
        <w:t>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w:t>
      </w:r>
      <w:r w:rsidRPr="00201935">
        <w:rPr>
          <w:rFonts w:eastAsiaTheme="minorEastAsia"/>
        </w:rPr>
        <w:t xml:space="preserve">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w:t>
      </w:r>
      <w:r w:rsidR="00952F61">
        <w:rPr>
          <w:rFonts w:eastAsiaTheme="minorEastAsia"/>
        </w:rPr>
        <w:t xml:space="preserve"> we must show that</w:t>
      </w:r>
    </w:p>
    <w:p w14:paraId="7A0864D0" w14:textId="77777777" w:rsidR="00952F61" w:rsidRDefault="00952F61" w:rsidP="00EA5FA1"/>
    <w:p w14:paraId="63A4E299" w14:textId="5D7617F9"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2DF3908D" w:rsidR="00731BAC" w:rsidRDefault="0016267B" w:rsidP="00EA5FA1">
      <w:r>
        <w:t xml:space="preserve">( b ) </w:t>
      </w:r>
    </w:p>
    <w:p w14:paraId="6B75DC54" w14:textId="77777777" w:rsidR="00201935" w:rsidRDefault="00201935"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39" w:history="1">
        <w:r w:rsidRPr="00E94895">
          <w:rPr>
            <w:rStyle w:val="Hyperlink"/>
          </w:rPr>
          <w:t>High-Dimensional Continuous Control Using Generalized Advantage Estimation, John Schulman, Philipp Moritz, Sergey Levine, Michael Jordan, Pieter Abbeel, 2015</w:t>
        </w:r>
      </w:hyperlink>
    </w:p>
    <w:p w14:paraId="1925ED20" w14:textId="6DDE88D4" w:rsidR="00DA2B94" w:rsidRDefault="00DA2B94" w:rsidP="001941DB">
      <w:pPr>
        <w:keepNext/>
        <w:keepLines/>
      </w:pPr>
      <w:r>
        <w:t xml:space="preserve">[36] </w:t>
      </w:r>
      <w:hyperlink r:id="rId40"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25D5482C" w:rsidR="00E94895" w:rsidRDefault="00E94895" w:rsidP="001941DB">
      <w:pPr>
        <w:keepNext/>
        <w:keepLines/>
      </w:pPr>
      <w:r>
        <w:t>[3</w:t>
      </w:r>
      <w:r w:rsidR="00DA2B94">
        <w:t>7</w:t>
      </w:r>
      <w:r>
        <w:t xml:space="preserve">] </w:t>
      </w:r>
      <w:hyperlink r:id="rId41" w:history="1">
        <w:r w:rsidRPr="00E94895">
          <w:rPr>
            <w:rStyle w:val="Hyperlink"/>
          </w:rPr>
          <w:t>Notes on Generalized Advantage Estimator, Seita’s Place blog, 2017</w:t>
        </w:r>
      </w:hyperlink>
    </w:p>
    <w:p w14:paraId="207A8AD9" w14:textId="337849AA" w:rsidR="003864D1" w:rsidRDefault="00E94895" w:rsidP="001941DB">
      <w:pPr>
        <w:keepNext/>
        <w:keepLines/>
      </w:pPr>
      <w:r>
        <w:t>[3</w:t>
      </w:r>
      <w:r w:rsidR="00DA2B94">
        <w:t>8</w:t>
      </w:r>
      <w:r>
        <w:t xml:space="preserve">] </w:t>
      </w:r>
      <w:hyperlink r:id="rId42" w:history="1">
        <w:r w:rsidRPr="00E94895">
          <w:rPr>
            <w:rStyle w:val="Hyperlink"/>
          </w:rPr>
          <w:t>Variance Reduction Techniques for Gradient Estimates in Reinforcement Learning, Evan Greensmith, Peter L. Bartlett, Jonathan Baxter, JMLR, 2004</w:t>
        </w:r>
      </w:hyperlink>
    </w:p>
    <w:p w14:paraId="288092F9" w14:textId="57B822BF" w:rsidR="00E94895" w:rsidRDefault="00E94895" w:rsidP="001941DB">
      <w:pPr>
        <w:keepNext/>
        <w:keepLines/>
      </w:pPr>
      <w:r>
        <w:t>[3</w:t>
      </w:r>
      <w:r w:rsidR="00DA2B94">
        <w:t>9</w:t>
      </w:r>
      <w:r>
        <w:t xml:space="preserve">] </w:t>
      </w:r>
      <w:hyperlink r:id="rId43"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1DB85F9B" w:rsidR="004E6765" w:rsidRDefault="004E6765" w:rsidP="001941DB">
      <w:pPr>
        <w:keepNext/>
        <w:keepLines/>
      </w:pPr>
      <w:r>
        <w:lastRenderedPageBreak/>
        <w:t>[</w:t>
      </w:r>
      <w:r w:rsidR="00DA2B94">
        <w:t>40</w:t>
      </w:r>
      <w:r>
        <w:t xml:space="preserve">] </w:t>
      </w:r>
      <w:hyperlink r:id="rId44" w:history="1">
        <w:r w:rsidRPr="004E6765">
          <w:rPr>
            <w:rStyle w:val="Hyperlink"/>
          </w:rPr>
          <w:t>Policy Gradient Methods for Reinforcement Learning with Function Approximation, Richard Sutton et al, AT&amp;T, 1999</w:t>
        </w:r>
      </w:hyperlink>
    </w:p>
    <w:p w14:paraId="6A692218" w14:textId="24F4B688" w:rsidR="004E6765" w:rsidRDefault="004E6765" w:rsidP="001941DB">
      <w:pPr>
        <w:keepNext/>
        <w:keepLines/>
      </w:pPr>
      <w:r>
        <w:t>[4</w:t>
      </w:r>
      <w:r w:rsidR="00DA2B94">
        <w:t>1</w:t>
      </w:r>
      <w:r>
        <w:t xml:space="preserve">] </w:t>
      </w:r>
      <w:hyperlink r:id="rId45" w:history="1">
        <w:r w:rsidRPr="004E6765">
          <w:rPr>
            <w:rStyle w:val="Hyperlink"/>
          </w:rPr>
          <w:t>Actor-Critic Algorithms, Vijay Konda, John Tsitsiklis, NIPS, 1999</w:t>
        </w:r>
      </w:hyperlink>
    </w:p>
    <w:p w14:paraId="499D703B" w14:textId="5D3D99A0" w:rsidR="004E6765" w:rsidRDefault="004E6765" w:rsidP="001941DB">
      <w:pPr>
        <w:keepNext/>
        <w:keepLines/>
      </w:pPr>
      <w:r>
        <w:t>[4</w:t>
      </w:r>
      <w:r w:rsidR="00DA2B94">
        <w:t>2</w:t>
      </w:r>
      <w:r>
        <w:t xml:space="preserve">] </w:t>
      </w:r>
      <w:hyperlink r:id="rId46" w:history="1">
        <w:r w:rsidRPr="004E6765">
          <w:rPr>
            <w:rStyle w:val="Hyperlink"/>
          </w:rPr>
          <w:t>On Actor-Critic Algorithms, Vijay Konda, John Tsitsiklis, MIT, SIAM, 2003</w:t>
        </w:r>
      </w:hyperlink>
    </w:p>
    <w:p w14:paraId="3700F69D" w14:textId="49472E96" w:rsidR="004E6765" w:rsidRDefault="0079571B" w:rsidP="001941DB">
      <w:pPr>
        <w:keepNext/>
        <w:keepLines/>
      </w:pPr>
      <w:r>
        <w:t>[4</w:t>
      </w:r>
      <w:r w:rsidR="00DA2B94">
        <w:t>3</w:t>
      </w:r>
      <w:r>
        <w:t xml:space="preserve">] </w:t>
      </w:r>
      <w:hyperlink r:id="rId47" w:history="1">
        <w:r w:rsidRPr="0079571B">
          <w:rPr>
            <w:rStyle w:val="Hyperlink"/>
          </w:rPr>
          <w:t>Off-Policy Actor-Critic, Thomas Degris, Martha White, Richard S. Sutton, 2013</w:t>
        </w:r>
      </w:hyperlink>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28E8"/>
    <w:rsid w:val="000F547A"/>
    <w:rsid w:val="000F6327"/>
    <w:rsid w:val="001523CB"/>
    <w:rsid w:val="0016267B"/>
    <w:rsid w:val="00164F39"/>
    <w:rsid w:val="0016598F"/>
    <w:rsid w:val="001915E3"/>
    <w:rsid w:val="001924A7"/>
    <w:rsid w:val="001941DB"/>
    <w:rsid w:val="001D4108"/>
    <w:rsid w:val="001D66E2"/>
    <w:rsid w:val="001F2831"/>
    <w:rsid w:val="001F5CC3"/>
    <w:rsid w:val="00201935"/>
    <w:rsid w:val="00234B0D"/>
    <w:rsid w:val="00250B29"/>
    <w:rsid w:val="00263AF9"/>
    <w:rsid w:val="002B713A"/>
    <w:rsid w:val="002C371F"/>
    <w:rsid w:val="002F1185"/>
    <w:rsid w:val="002F74B6"/>
    <w:rsid w:val="00352B50"/>
    <w:rsid w:val="00353076"/>
    <w:rsid w:val="00362186"/>
    <w:rsid w:val="00375C0A"/>
    <w:rsid w:val="003864D1"/>
    <w:rsid w:val="00390954"/>
    <w:rsid w:val="003A1646"/>
    <w:rsid w:val="003B4FD3"/>
    <w:rsid w:val="003B6D87"/>
    <w:rsid w:val="003C428B"/>
    <w:rsid w:val="003D635D"/>
    <w:rsid w:val="003F46A4"/>
    <w:rsid w:val="00402AB3"/>
    <w:rsid w:val="00403854"/>
    <w:rsid w:val="00412CBC"/>
    <w:rsid w:val="00417D5F"/>
    <w:rsid w:val="0042117B"/>
    <w:rsid w:val="004237EC"/>
    <w:rsid w:val="00424310"/>
    <w:rsid w:val="00426A33"/>
    <w:rsid w:val="00445CC2"/>
    <w:rsid w:val="00454914"/>
    <w:rsid w:val="00463D73"/>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03A45"/>
    <w:rsid w:val="00730826"/>
    <w:rsid w:val="00731BAC"/>
    <w:rsid w:val="0074266D"/>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F1CEF"/>
    <w:rsid w:val="0092653B"/>
    <w:rsid w:val="00950E19"/>
    <w:rsid w:val="00952F61"/>
    <w:rsid w:val="00953A53"/>
    <w:rsid w:val="009A41A9"/>
    <w:rsid w:val="00A41F57"/>
    <w:rsid w:val="00A44E09"/>
    <w:rsid w:val="00A70BD0"/>
    <w:rsid w:val="00A80A7D"/>
    <w:rsid w:val="00A91825"/>
    <w:rsid w:val="00A9705D"/>
    <w:rsid w:val="00AB3C22"/>
    <w:rsid w:val="00AB6240"/>
    <w:rsid w:val="00AC05D9"/>
    <w:rsid w:val="00AD1083"/>
    <w:rsid w:val="00B149C0"/>
    <w:rsid w:val="00B81C57"/>
    <w:rsid w:val="00B908FB"/>
    <w:rsid w:val="00B9732A"/>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C2452"/>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261B1"/>
    <w:rsid w:val="00F47C4A"/>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42"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47" Type="http://schemas.openxmlformats.org/officeDocument/2006/relationships/hyperlink" Target="https://github.com/dimitarpg13/reinforcement_learning_and_game_theory/blob/main/articles/ReinforcementLearning/Off-Policy_Actor-Critic_Degris_2013.pdf" TargetMode="External"/><Relationship Id="rId7" Type="http://schemas.openxmlformats.org/officeDocument/2006/relationships/hyperlink" Target="https://youtu.be/rO7Dx8pSJQw?si=h5v2bh-Se-CDV93I"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5" Type="http://schemas.openxmlformats.org/officeDocument/2006/relationships/hyperlink" Target="https://github.com/dimitarpg13/reinforcement_learning_and_game_theory/blob/main/articles/ReinforcementLearning/J094-03-kon-actors.pdf" TargetMode="Externa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49" Type="http://schemas.openxmlformats.org/officeDocument/2006/relationships/theme" Target="theme/theme1.xm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4"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43" Type="http://schemas.openxmlformats.org/officeDocument/2006/relationships/hyperlink" Target="https://github.com/dimitarpg13/reinforcement_learning_and_game_theory/blob/main/docs/actor_critic_algorithms_Sergey_Levine_2017.pdf" TargetMode="External"/><Relationship Id="rId48" Type="http://schemas.openxmlformats.org/officeDocument/2006/relationships/fontTable" Target="fontTable.xm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 Id="rId46" Type="http://schemas.openxmlformats.org/officeDocument/2006/relationships/hyperlink" Target="https://github.com/dimitarpg13/reinforcement_learning_and_game_theory/blob/main/articles/ReinforcementLearning/J094-03-kon-actors.pdf" TargetMode="Externa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41" Type="http://schemas.openxmlformats.org/officeDocument/2006/relationships/hyperlink" Target="https://danieltakeshi.github.io/2017/04/02/notes-on-the-generalized-advantage-estimation-paper/"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12</Pages>
  <Words>5715</Words>
  <Characters>32581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160</cp:revision>
  <dcterms:created xsi:type="dcterms:W3CDTF">2025-03-20T19:44:00Z</dcterms:created>
  <dcterms:modified xsi:type="dcterms:W3CDTF">2025-04-07T10:12:00Z</dcterms:modified>
</cp:coreProperties>
</file>