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286E" w14:textId="4EF40426" w:rsidR="00503FD8" w:rsidRDefault="008B1473" w:rsidP="008B1473">
      <w:pPr>
        <w:pStyle w:val="Title"/>
      </w:pPr>
      <w:r>
        <w:t>Notes on Variance Reduction Techniques for Gradient Estimates in Reinforcement Learning</w:t>
      </w:r>
    </w:p>
    <w:p w14:paraId="52992868" w14:textId="5604D071" w:rsidR="008B1473" w:rsidRDefault="008B1473" w:rsidP="008B1473">
      <w:r>
        <w:t>compiled by D.Gueorguiev, 4/16/2025</w:t>
      </w:r>
    </w:p>
    <w:p w14:paraId="2B4F4EBD" w14:textId="77777777" w:rsidR="008B1473" w:rsidRDefault="008B1473" w:rsidP="008B1473"/>
    <w:p w14:paraId="75CC3A5C" w14:textId="32F260C5" w:rsidR="008B1473" w:rsidRDefault="008B1473" w:rsidP="008B1473">
      <w:pPr>
        <w:pStyle w:val="Heading1"/>
      </w:pPr>
      <w:r>
        <w:t>Introductory Notes</w:t>
      </w:r>
    </w:p>
    <w:p w14:paraId="52754539" w14:textId="386B04D4" w:rsidR="008B1473" w:rsidRDefault="00112AB9" w:rsidP="008B1473">
      <w:r>
        <w:t>Policy gradient methods for reinforcement learning avoid some of the undesirable properties of the value function approaches, such as policy degradation. However</w:t>
      </w:r>
      <w:r w:rsidR="00F1054B">
        <w:t>, the variance of the performance gradient estimates obtaine</w:t>
      </w:r>
      <w:r w:rsidR="00037ABC">
        <w:t>d</w:t>
      </w:r>
      <w:r w:rsidR="00F1054B">
        <w:t xml:space="preserve"> from the simulation is sometimes excessive. </w:t>
      </w:r>
      <w:r w:rsidR="00037ABC">
        <w:t xml:space="preserve">Two commonly used policy gradient techniques will be discussed in this document – the </w:t>
      </w:r>
      <w:r w:rsidR="00037ABC" w:rsidRPr="00037ABC">
        <w:rPr>
          <w:i/>
          <w:iCs/>
        </w:rPr>
        <w:t>baseline</w:t>
      </w:r>
      <w:r w:rsidR="00037ABC">
        <w:t xml:space="preserve"> and </w:t>
      </w:r>
      <w:r w:rsidR="00037ABC" w:rsidRPr="00037ABC">
        <w:rPr>
          <w:i/>
          <w:iCs/>
        </w:rPr>
        <w:t>actor-critic</w:t>
      </w:r>
      <w:r w:rsidR="00037ABC">
        <w:t xml:space="preserve"> methods. </w:t>
      </w:r>
    </w:p>
    <w:p w14:paraId="6FB7FB90" w14:textId="77777777" w:rsidR="00037ABC" w:rsidRDefault="00037ABC" w:rsidP="008B1473"/>
    <w:p w14:paraId="68463DE4" w14:textId="6D69E72C" w:rsidR="00037ABC" w:rsidRDefault="00C16B5C" w:rsidP="00C16B5C">
      <w:pPr>
        <w:pStyle w:val="Heading2"/>
      </w:pPr>
      <w:r>
        <w:t>System Model</w:t>
      </w:r>
    </w:p>
    <w:p w14:paraId="4A093F0B" w14:textId="14A03ACA" w:rsidR="00C16B5C" w:rsidRDefault="00C16B5C" w:rsidP="008B1473">
      <w:pPr>
        <w:rPr>
          <w:rFonts w:eastAsiaTheme="minorEastAsia"/>
        </w:rPr>
      </w:pPr>
      <w:r>
        <w:t xml:space="preserve">A partially observable Markov decision process (POMDP) can be modelled by a system consisting of a state space,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, an action space, </w:t>
      </w:r>
      <m:oMath>
        <m:r>
          <m:rPr>
            <m:scr m:val="script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, and an observation space, </w:t>
      </w:r>
      <m:oMath>
        <m:r>
          <m:rPr>
            <m:scr m:val="script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all of which will be considered finite here. State transitions are governed by a set of probability transition matrices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u</m:t>
        </m:r>
        <m:r>
          <m:rPr>
            <m:scr m:val="script"/>
          </m:rPr>
          <w:rPr>
            <w:rFonts w:ascii="Cambria Math" w:eastAsiaTheme="minorEastAsia" w:hAnsi="Cambria Math"/>
          </w:rPr>
          <m:t>∈U</m:t>
        </m:r>
      </m:oMath>
      <w:r>
        <w:rPr>
          <w:rFonts w:eastAsiaTheme="minorEastAsia"/>
        </w:rPr>
        <w:t xml:space="preserve">, components of which will be denoted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, j</m:t>
        </m:r>
        <m:r>
          <m:rPr>
            <m:scr m:val="script"/>
          </m:rPr>
          <w:rPr>
            <w:rFonts w:ascii="Cambria Math" w:eastAsiaTheme="minorEastAsia" w:hAnsi="Cambria Math"/>
          </w:rPr>
          <m:t>∈S</m:t>
        </m:r>
      </m:oMath>
      <w:r>
        <w:rPr>
          <w:rFonts w:eastAsiaTheme="minorEastAsia"/>
        </w:rPr>
        <w:t xml:space="preserve">. There is also an observation process </w:t>
      </w:r>
      <m:oMath>
        <m:r>
          <w:rPr>
            <w:rFonts w:ascii="Cambria Math" w:eastAsiaTheme="minorEastAsia" w:hAnsi="Cambria Math"/>
          </w:rPr>
          <m:t>v</m:t>
        </m:r>
        <m:r>
          <m:rPr>
            <m:scr m:val="script"/>
          </m:rPr>
          <w:rPr>
            <w:rFonts w:ascii="Cambria Math" w:eastAsiaTheme="minorEastAsia" w:hAnsi="Cambria Math"/>
          </w:rPr>
          <m:t>: S→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is the space of probability distributions over </w:t>
      </w:r>
      <m:oMath>
        <m:r>
          <m:rPr>
            <m:scr m:val="script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and a reward function </w:t>
      </w:r>
      <m:oMath>
        <m:r>
          <w:rPr>
            <w:rFonts w:ascii="Cambria Math" w:eastAsiaTheme="minorEastAsia" w:hAnsi="Cambria Math"/>
          </w:rPr>
          <m:t>r:</m:t>
        </m:r>
        <m:r>
          <m:rPr>
            <m:scr m:val="script"/>
          </m:rPr>
          <w:rPr>
            <w:rFonts w:ascii="Cambria Math" w:eastAsiaTheme="minorEastAsia" w:hAnsi="Cambria Math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. Together these define the POMDP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S,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U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  <m:r>
              <w:rPr>
                <w:rFonts w:ascii="Cambria Math" w:eastAsiaTheme="minorEastAsia" w:hAnsi="Cambria Math"/>
              </w:rPr>
              <m:t>, P,v,r</m:t>
            </m:r>
          </m:e>
        </m:d>
      </m:oMath>
      <w:r>
        <w:rPr>
          <w:rFonts w:eastAsiaTheme="minorEastAsia"/>
        </w:rPr>
        <w:t>.</w:t>
      </w:r>
    </w:p>
    <w:p w14:paraId="1FE86CB0" w14:textId="77777777" w:rsidR="00C16B5C" w:rsidRDefault="00C16B5C" w:rsidP="008B1473">
      <w:pPr>
        <w:rPr>
          <w:rFonts w:eastAsiaTheme="minorEastAsia"/>
        </w:rPr>
      </w:pPr>
    </w:p>
    <w:p w14:paraId="00AC0952" w14:textId="36237D33" w:rsidR="00C16B5C" w:rsidRDefault="00C16B5C" w:rsidP="008B1473">
      <w:pPr>
        <w:rPr>
          <w:rFonts w:eastAsiaTheme="minorEastAsia"/>
        </w:rPr>
      </w:pPr>
      <w:r>
        <w:rPr>
          <w:rFonts w:eastAsiaTheme="minorEastAsia"/>
        </w:rPr>
        <w:t xml:space="preserve">    A policy for this POMDP is a mapping </w:t>
      </w:r>
      <m:oMath>
        <m:r>
          <w:rPr>
            <w:rFonts w:ascii="Cambria Math" w:eastAsiaTheme="minorEastAsia" w:hAnsi="Cambria Math"/>
          </w:rPr>
          <m:t>μ: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denotes the space of all finite sequences of observations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is the space of probability distributions over </w:t>
      </w:r>
      <m:oMath>
        <m:r>
          <m:rPr>
            <m:scr m:val="script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. </w:t>
      </w:r>
      <w:r w:rsidR="005C3CCB">
        <w:rPr>
          <w:rFonts w:eastAsiaTheme="minorEastAsia"/>
        </w:rPr>
        <w:t xml:space="preserve"> If only the set of reactive policies </w:t>
      </w:r>
    </w:p>
    <w:p w14:paraId="0028325D" w14:textId="77777777" w:rsidR="00C16B5C" w:rsidRDefault="00C16B5C" w:rsidP="008B1473"/>
    <w:p w14:paraId="53499343" w14:textId="77777777" w:rsidR="008B1473" w:rsidRDefault="008B1473" w:rsidP="008B1473"/>
    <w:p w14:paraId="3A8B00C4" w14:textId="3370CD73" w:rsidR="008B1473" w:rsidRDefault="008B1473" w:rsidP="008B1473">
      <w:pPr>
        <w:pStyle w:val="Heading1"/>
      </w:pPr>
      <w:r>
        <w:t>References</w:t>
      </w:r>
    </w:p>
    <w:p w14:paraId="3C720F48" w14:textId="1E3F7632" w:rsidR="008B1473" w:rsidRDefault="008B1473" w:rsidP="008B1473">
      <w:pPr>
        <w:keepNext/>
        <w:keepLines/>
        <w:rPr>
          <w:rStyle w:val="Hyperlink"/>
        </w:rPr>
      </w:pPr>
      <w:r>
        <w:t>[</w:t>
      </w:r>
      <w:r>
        <w:t>1</w:t>
      </w:r>
      <w:r>
        <w:t xml:space="preserve">] </w:t>
      </w:r>
      <w:hyperlink r:id="rId4" w:history="1">
        <w:r w:rsidRPr="00E94895">
          <w:rPr>
            <w:rStyle w:val="Hyperlink"/>
          </w:rPr>
          <w:t>Variance Reduction Techniques for Gradient Estimates in Reinforcement Learning, Evan Greensmith, Peter L. Bartlett, Jonathan Baxter, JMLR, 2004</w:t>
        </w:r>
      </w:hyperlink>
    </w:p>
    <w:p w14:paraId="6536E7D7" w14:textId="509F9E5B" w:rsidR="00112AB9" w:rsidRDefault="00112AB9" w:rsidP="00112AB9">
      <w:pPr>
        <w:rPr>
          <w:rStyle w:val="Hyperlink"/>
          <w:color w:val="auto"/>
          <w:u w:val="none"/>
        </w:rPr>
      </w:pPr>
      <w:r w:rsidRPr="00112AB9">
        <w:rPr>
          <w:rStyle w:val="Hyperlink"/>
          <w:color w:val="auto"/>
          <w:u w:val="none"/>
        </w:rPr>
        <w:t xml:space="preserve">[2] </w:t>
      </w:r>
      <w:hyperlink r:id="rId5" w:history="1">
        <w:r w:rsidRPr="00112AB9">
          <w:rPr>
            <w:rStyle w:val="Hyperlink"/>
          </w:rPr>
          <w:t xml:space="preserve">Infinite-Horizon Policy-Gradient Estimation, J. Baxter, P. Bartlett, 2001 </w:t>
        </w:r>
      </w:hyperlink>
      <w:r>
        <w:rPr>
          <w:rStyle w:val="Hyperlink"/>
          <w:color w:val="auto"/>
          <w:u w:val="none"/>
        </w:rPr>
        <w:t xml:space="preserve"> </w:t>
      </w:r>
    </w:p>
    <w:p w14:paraId="0F903C9C" w14:textId="50E87BB0" w:rsidR="00981EEC" w:rsidRPr="00112AB9" w:rsidRDefault="00981EEC" w:rsidP="00112AB9">
      <w:r>
        <w:rPr>
          <w:rStyle w:val="Hyperlink"/>
          <w:color w:val="auto"/>
          <w:u w:val="none"/>
        </w:rPr>
        <w:t xml:space="preserve">[3] </w:t>
      </w:r>
      <w:hyperlink r:id="rId6" w:history="1">
        <w:r w:rsidRPr="00981EEC">
          <w:rPr>
            <w:rStyle w:val="Hyperlink"/>
          </w:rPr>
          <w:t>Planning and acting in partially observable stochastic domains</w:t>
        </w:r>
        <w:r w:rsidRPr="00981EEC">
          <w:rPr>
            <w:rStyle w:val="Hyperlink"/>
          </w:rPr>
          <w:t>, LP Kaelbling et al, 1998</w:t>
        </w:r>
      </w:hyperlink>
    </w:p>
    <w:p w14:paraId="0A6A9174" w14:textId="77777777" w:rsidR="008B1473" w:rsidRDefault="008B1473" w:rsidP="008B1473"/>
    <w:p w14:paraId="75020BD5" w14:textId="77777777" w:rsidR="005C3CCB" w:rsidRDefault="005C3CCB" w:rsidP="008B1473"/>
    <w:p w14:paraId="3C241B76" w14:textId="6BDEB47F" w:rsidR="005C3CCB" w:rsidRDefault="005C3CCB" w:rsidP="005C3CCB">
      <w:pPr>
        <w:pStyle w:val="Heading1"/>
      </w:pPr>
      <w:r>
        <w:t xml:space="preserve">Appendix </w:t>
      </w:r>
    </w:p>
    <w:p w14:paraId="1E9823C5" w14:textId="13383865" w:rsidR="005C3CCB" w:rsidRDefault="005C3CCB" w:rsidP="005C3CCB">
      <w:pPr>
        <w:pStyle w:val="Heading2"/>
      </w:pPr>
      <w:r>
        <w:t>Markov Decision Processes and Partially Observable Markov Decision Processes</w:t>
      </w:r>
    </w:p>
    <w:p w14:paraId="7478E947" w14:textId="77777777" w:rsidR="005C3CCB" w:rsidRDefault="005C3CCB" w:rsidP="005C3CCB"/>
    <w:p w14:paraId="02EC5097" w14:textId="739429E3" w:rsidR="005C3CCB" w:rsidRDefault="005C3CCB" w:rsidP="005C3CCB">
      <w:r>
        <w:t>Markov Decision Processes serve as a basis for solving more complex partially observable problems.</w:t>
      </w:r>
    </w:p>
    <w:p w14:paraId="2F3B0D8F" w14:textId="77777777" w:rsidR="005C3CCB" w:rsidRDefault="005C3CCB" w:rsidP="005C3CCB"/>
    <w:p w14:paraId="6AE05C6D" w14:textId="386D72E2" w:rsidR="005C3CCB" w:rsidRDefault="005C3CCB" w:rsidP="005C3CCB">
      <w:r w:rsidRPr="005C3CCB">
        <w:rPr>
          <w:b/>
          <w:bCs/>
        </w:rPr>
        <w:t>Definition</w:t>
      </w:r>
      <w:r>
        <w:t xml:space="preserve">: </w:t>
      </w:r>
      <w:r w:rsidRPr="005C3CCB">
        <w:rPr>
          <w:i/>
          <w:iCs/>
        </w:rPr>
        <w:t>Markov Decision Process</w:t>
      </w:r>
    </w:p>
    <w:p w14:paraId="11388593" w14:textId="77777777" w:rsidR="005C3CCB" w:rsidRPr="005C3CCB" w:rsidRDefault="005C3CCB" w:rsidP="005C3CCB"/>
    <w:sectPr w:rsidR="005C3CCB" w:rsidRPr="005C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15"/>
    <w:rsid w:val="00037ABC"/>
    <w:rsid w:val="00066B4D"/>
    <w:rsid w:val="00112AB9"/>
    <w:rsid w:val="001D66E2"/>
    <w:rsid w:val="00375C0A"/>
    <w:rsid w:val="00503FD8"/>
    <w:rsid w:val="005C3CCB"/>
    <w:rsid w:val="008B1473"/>
    <w:rsid w:val="00981EEC"/>
    <w:rsid w:val="00AD6D15"/>
    <w:rsid w:val="00C16B5C"/>
    <w:rsid w:val="00F1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6FDFF"/>
  <w15:chartTrackingRefBased/>
  <w15:docId w15:val="{0E0AB850-7492-C547-9953-A64ED048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47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47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B5C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D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D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D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D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473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6B5C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47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47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D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D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D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1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AB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16B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reinforcement_learning_and_game_theory/blob/main/articles/ReinforcementLearning/Planning_and_acting_in_partially_observable_stochastic_domains_aij98-pomdp.pdf" TargetMode="External"/><Relationship Id="rId5" Type="http://schemas.openxmlformats.org/officeDocument/2006/relationships/hyperlink" Target="https://github.com/dimitarpg13/reinforcement_learning_and_game_theory/blob/main/articles/ReinforcementLearning/Infinite-Horizon_Policy-Gradient_Estimation_Baxter_2001.pdf" TargetMode="External"/><Relationship Id="rId4" Type="http://schemas.openxmlformats.org/officeDocument/2006/relationships/hyperlink" Target="https://github.com/dimitarpg13/reinforcement_learning_and_game_theory/blob/main/articles/ReinforcementLearning/Variance_Reduction_Techniques_for_Gradient_Estimates_in_Reinforcement_Learning_Greensmith_2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</cp:revision>
  <dcterms:created xsi:type="dcterms:W3CDTF">2025-04-16T13:39:00Z</dcterms:created>
  <dcterms:modified xsi:type="dcterms:W3CDTF">2025-04-16T18:00:00Z</dcterms:modified>
</cp:coreProperties>
</file>