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98ED" w14:textId="3BD4F306" w:rsidR="00FB755F" w:rsidRPr="00F06DF1" w:rsidRDefault="00F06DF1" w:rsidP="00F06DF1">
      <w:pPr>
        <w:pStyle w:val="Heading1"/>
        <w:rPr>
          <w:sz w:val="28"/>
          <w:szCs w:val="28"/>
        </w:rPr>
      </w:pPr>
      <w:r w:rsidRPr="00F06DF1">
        <w:rPr>
          <w:sz w:val="28"/>
          <w:szCs w:val="28"/>
        </w:rPr>
        <w:t>Reinforcement Learning Fundamentals</w:t>
      </w:r>
    </w:p>
    <w:p w14:paraId="737BF70E" w14:textId="0EF0867F" w:rsidR="00F06DF1" w:rsidRDefault="00F06DF1">
      <w:pPr>
        <w:rPr>
          <w:sz w:val="20"/>
          <w:szCs w:val="20"/>
        </w:rPr>
      </w:pPr>
    </w:p>
    <w:p w14:paraId="3C64700F" w14:textId="172D7183" w:rsidR="008867CD" w:rsidRDefault="008867CD" w:rsidP="008867CD">
      <w:pPr>
        <w:pStyle w:val="Heading2"/>
      </w:pPr>
      <w:r>
        <w:t>Policies and Value Functions</w:t>
      </w:r>
    </w:p>
    <w:p w14:paraId="4B6EF4BD" w14:textId="1E5344BE" w:rsidR="008867CD" w:rsidRDefault="008867CD">
      <w:pPr>
        <w:rPr>
          <w:sz w:val="20"/>
          <w:szCs w:val="20"/>
        </w:rPr>
      </w:pPr>
      <w:r>
        <w:rPr>
          <w:sz w:val="20"/>
          <w:szCs w:val="20"/>
        </w:rPr>
        <w:t xml:space="preserve">Almost all reinforcement learning algorithms involve estimating </w:t>
      </w:r>
      <w:r w:rsidRPr="008867CD">
        <w:rPr>
          <w:b/>
          <w:bCs/>
          <w:color w:val="C45911" w:themeColor="accent2" w:themeShade="BF"/>
          <w:sz w:val="20"/>
          <w:szCs w:val="20"/>
        </w:rPr>
        <w:t>value functions</w:t>
      </w:r>
      <w:r>
        <w:rPr>
          <w:sz w:val="20"/>
          <w:szCs w:val="20"/>
        </w:rPr>
        <w:t xml:space="preserve"> – functions of state (or state-action pairs) that estimate how good it is for the agent to be in a given state (or how good it is to perform a given action in a given state).</w:t>
      </w:r>
    </w:p>
    <w:p w14:paraId="4F450655" w14:textId="77777777" w:rsidR="008867CD" w:rsidRDefault="008867CD">
      <w:pPr>
        <w:rPr>
          <w:sz w:val="20"/>
          <w:szCs w:val="20"/>
        </w:rPr>
      </w:pPr>
    </w:p>
    <w:p w14:paraId="14FF24F3" w14:textId="0DBA799D" w:rsidR="00F06DF1" w:rsidRPr="00273BED" w:rsidRDefault="00C23EE3">
      <w:pPr>
        <w:rPr>
          <w:b/>
          <w:bCs/>
          <w:i/>
          <w:iCs/>
          <w:sz w:val="20"/>
          <w:szCs w:val="20"/>
          <w:lang w:eastAsia="ja-JP"/>
        </w:rPr>
      </w:pPr>
      <w:r w:rsidRPr="00273BED">
        <w:rPr>
          <w:b/>
          <w:bCs/>
          <w:i/>
          <w:iCs/>
          <w:sz w:val="20"/>
          <w:szCs w:val="20"/>
          <w:lang w:eastAsia="ja-JP"/>
        </w:rPr>
        <w:t>Gridworld</w:t>
      </w:r>
    </w:p>
    <w:p w14:paraId="48EFF4B3" w14:textId="388B43AE" w:rsidR="00273BED" w:rsidRDefault="00273BED">
      <w:pPr>
        <w:rPr>
          <w:sz w:val="20"/>
          <w:szCs w:val="20"/>
          <w:lang w:eastAsia="ja-JP"/>
        </w:rPr>
      </w:pPr>
    </w:p>
    <w:p w14:paraId="51B03D15" w14:textId="6B897FB4" w:rsidR="00273BED" w:rsidRDefault="00273BED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Gridworld is an example illustrating the use of a finite Markov Decision Process.</w:t>
      </w:r>
    </w:p>
    <w:p w14:paraId="14F51E2B" w14:textId="537962CC" w:rsidR="00273BED" w:rsidRDefault="00273BED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 xml:space="preserve">The cells of the grid correspond to the states of the environment. At each cell, four actions are possible: </w:t>
      </w:r>
      <w:r w:rsidRPr="00273BED">
        <w:rPr>
          <w:b/>
          <w:bCs/>
          <w:i/>
          <w:iCs/>
          <w:sz w:val="20"/>
          <w:szCs w:val="20"/>
          <w:lang w:eastAsia="ja-JP"/>
        </w:rPr>
        <w:t>north</w:t>
      </w:r>
      <w:r>
        <w:rPr>
          <w:sz w:val="20"/>
          <w:szCs w:val="20"/>
          <w:lang w:eastAsia="ja-JP"/>
        </w:rPr>
        <w:t xml:space="preserve">, </w:t>
      </w:r>
      <w:r w:rsidRPr="00273BED">
        <w:rPr>
          <w:b/>
          <w:bCs/>
          <w:i/>
          <w:iCs/>
          <w:sz w:val="20"/>
          <w:szCs w:val="20"/>
          <w:lang w:eastAsia="ja-JP"/>
        </w:rPr>
        <w:t>south</w:t>
      </w:r>
      <w:r>
        <w:rPr>
          <w:sz w:val="20"/>
          <w:szCs w:val="20"/>
          <w:lang w:eastAsia="ja-JP"/>
        </w:rPr>
        <w:t xml:space="preserve">, </w:t>
      </w:r>
      <w:r w:rsidRPr="00273BED">
        <w:rPr>
          <w:b/>
          <w:bCs/>
          <w:i/>
          <w:iCs/>
          <w:sz w:val="20"/>
          <w:szCs w:val="20"/>
          <w:lang w:eastAsia="ja-JP"/>
        </w:rPr>
        <w:t>east</w:t>
      </w:r>
      <w:r>
        <w:rPr>
          <w:sz w:val="20"/>
          <w:szCs w:val="20"/>
          <w:lang w:eastAsia="ja-JP"/>
        </w:rPr>
        <w:t xml:space="preserve">, and </w:t>
      </w:r>
      <w:r w:rsidRPr="00273BED">
        <w:rPr>
          <w:b/>
          <w:bCs/>
          <w:i/>
          <w:iCs/>
          <w:sz w:val="20"/>
          <w:szCs w:val="20"/>
          <w:lang w:eastAsia="ja-JP"/>
        </w:rPr>
        <w:t>west</w:t>
      </w:r>
      <w:r>
        <w:rPr>
          <w:sz w:val="20"/>
          <w:szCs w:val="20"/>
          <w:lang w:eastAsia="ja-JP"/>
        </w:rPr>
        <w:t xml:space="preserve">, which deterministically cause the agent to move one cell in the respective direction on the grid. </w:t>
      </w:r>
      <w:r w:rsidR="008867CD">
        <w:rPr>
          <w:sz w:val="20"/>
          <w:szCs w:val="20"/>
          <w:lang w:eastAsia="ja-JP"/>
        </w:rPr>
        <w:t>Actions that would take the agent off the grid leave its location unchanged, but also result in a reward of -1.</w:t>
      </w:r>
    </w:p>
    <w:p w14:paraId="72D008CB" w14:textId="21A9ECDC" w:rsidR="008867CD" w:rsidRDefault="008867CD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 xml:space="preserve">Other actions result in a reward of 0, except those that move the agent out of the special states </w:t>
      </w:r>
      <m:oMath>
        <m:r>
          <w:rPr>
            <w:rFonts w:ascii="Cambria Math" w:hAnsi="Cambria Math" w:cs="Menlo"/>
            <w:sz w:val="20"/>
            <w:szCs w:val="20"/>
            <w:lang w:eastAsia="ja-JP"/>
          </w:rPr>
          <m:t>A</m:t>
        </m:r>
      </m:oMath>
      <w:r>
        <w:rPr>
          <w:sz w:val="20"/>
          <w:szCs w:val="20"/>
          <w:lang w:eastAsia="ja-JP"/>
        </w:rPr>
        <w:t xml:space="preserve"> and </w:t>
      </w:r>
      <m:oMath>
        <m:r>
          <w:rPr>
            <w:rFonts w:ascii="Cambria Math" w:hAnsi="Cambria Math" w:cs="Menlo"/>
            <w:sz w:val="20"/>
            <w:szCs w:val="20"/>
            <w:lang w:eastAsia="ja-JP"/>
          </w:rPr>
          <m:t>B</m:t>
        </m:r>
      </m:oMath>
      <w:r>
        <w:rPr>
          <w:sz w:val="20"/>
          <w:szCs w:val="20"/>
          <w:lang w:eastAsia="ja-JP"/>
        </w:rPr>
        <w:t xml:space="preserve">. From state </w:t>
      </w:r>
      <m:oMath>
        <m:r>
          <w:rPr>
            <w:rFonts w:ascii="Cambria Math" w:hAnsi="Cambria Math"/>
            <w:sz w:val="20"/>
            <w:szCs w:val="20"/>
            <w:lang w:eastAsia="ja-JP"/>
          </w:rPr>
          <m:t>A</m:t>
        </m:r>
      </m:oMath>
      <w:r>
        <w:rPr>
          <w:sz w:val="20"/>
          <w:szCs w:val="20"/>
          <w:lang w:eastAsia="ja-JP"/>
        </w:rPr>
        <w:t xml:space="preserve">, all four actions yield a reward of +10 and take the agent to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ja-JP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eastAsia="ja-JP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  <w:lang w:eastAsia="ja-JP"/>
              </w:rPr>
              <m:t>'</m:t>
            </m:r>
          </m:sup>
        </m:sSup>
      </m:oMath>
      <w:r>
        <w:rPr>
          <w:rFonts w:eastAsiaTheme="minorEastAsia"/>
          <w:sz w:val="20"/>
          <w:szCs w:val="20"/>
          <w:lang w:eastAsia="ja-JP"/>
        </w:rPr>
        <w:t>. From state B</w:t>
      </w:r>
    </w:p>
    <w:p w14:paraId="45D82DB6" w14:textId="33EA9201" w:rsidR="00C23EE3" w:rsidRDefault="00C23EE3">
      <w:pPr>
        <w:rPr>
          <w:sz w:val="20"/>
          <w:szCs w:val="20"/>
          <w:lang w:eastAsia="ja-JP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6F50EE3" wp14:editId="56A4BCF0">
            <wp:simplePos x="0" y="0"/>
            <wp:positionH relativeFrom="column">
              <wp:posOffset>2629924</wp:posOffset>
            </wp:positionH>
            <wp:positionV relativeFrom="paragraph">
              <wp:posOffset>155575</wp:posOffset>
            </wp:positionV>
            <wp:extent cx="1501140" cy="152273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8A45A" w14:textId="61A898C7" w:rsidR="00C23EE3" w:rsidRDefault="00C23EE3">
      <w:pPr>
        <w:rPr>
          <w:sz w:val="20"/>
          <w:szCs w:val="20"/>
          <w:lang w:eastAsia="ja-JP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8FBF83F" wp14:editId="342BBA61">
            <wp:simplePos x="0" y="0"/>
            <wp:positionH relativeFrom="column">
              <wp:posOffset>1840865</wp:posOffset>
            </wp:positionH>
            <wp:positionV relativeFrom="paragraph">
              <wp:posOffset>92075</wp:posOffset>
            </wp:positionV>
            <wp:extent cx="502920" cy="650240"/>
            <wp:effectExtent l="0" t="0" r="5080" b="0"/>
            <wp:wrapNone/>
            <wp:docPr id="2" name="Picture 2" descr="A picture containing symbol, font, white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ymbol, font, white, graphic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:lang w:eastAsia="ja-JP"/>
        </w:rPr>
        <w:drawing>
          <wp:anchor distT="0" distB="0" distL="114300" distR="114300" simplePos="0" relativeHeight="251658240" behindDoc="1" locked="0" layoutInCell="1" allowOverlap="1" wp14:anchorId="0DD7DF88" wp14:editId="1DE8101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42143" cy="1542143"/>
            <wp:effectExtent l="0" t="0" r="0" b="0"/>
            <wp:wrapNone/>
            <wp:docPr id="1" name="Picture 1" descr="A picture containing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, 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143" cy="1542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CA041" w14:textId="734CBAD6" w:rsidR="00C23EE3" w:rsidRDefault="00C23EE3">
      <w:pPr>
        <w:rPr>
          <w:sz w:val="20"/>
          <w:szCs w:val="20"/>
          <w:lang w:eastAsia="ja-JP"/>
        </w:rPr>
      </w:pPr>
    </w:p>
    <w:p w14:paraId="63C4F789" w14:textId="14E43AB8" w:rsidR="00C23EE3" w:rsidRPr="00F06DF1" w:rsidRDefault="00C23EE3">
      <w:pPr>
        <w:rPr>
          <w:sz w:val="20"/>
          <w:szCs w:val="20"/>
          <w:lang w:eastAsia="ja-JP"/>
        </w:rPr>
      </w:pPr>
    </w:p>
    <w:p w14:paraId="2889A62A" w14:textId="1BFA0002" w:rsidR="00F06DF1" w:rsidRDefault="00F06DF1">
      <w:pPr>
        <w:rPr>
          <w:sz w:val="20"/>
          <w:szCs w:val="20"/>
        </w:rPr>
      </w:pPr>
    </w:p>
    <w:p w14:paraId="60DF0DEA" w14:textId="2CF259AE" w:rsidR="00C23EE3" w:rsidRDefault="00C23EE3">
      <w:pPr>
        <w:rPr>
          <w:sz w:val="20"/>
          <w:szCs w:val="20"/>
        </w:rPr>
      </w:pPr>
    </w:p>
    <w:p w14:paraId="68672906" w14:textId="589DA997" w:rsidR="00C23EE3" w:rsidRDefault="00C23EE3">
      <w:pPr>
        <w:rPr>
          <w:sz w:val="20"/>
          <w:szCs w:val="20"/>
        </w:rPr>
      </w:pPr>
    </w:p>
    <w:p w14:paraId="337FDA9A" w14:textId="4AF20A21" w:rsidR="00C23EE3" w:rsidRDefault="00C23EE3">
      <w:pPr>
        <w:rPr>
          <w:sz w:val="20"/>
          <w:szCs w:val="20"/>
        </w:rPr>
      </w:pPr>
    </w:p>
    <w:p w14:paraId="427B7911" w14:textId="15E05C4B" w:rsidR="00C23EE3" w:rsidRDefault="00C23EE3">
      <w:pPr>
        <w:rPr>
          <w:sz w:val="20"/>
          <w:szCs w:val="20"/>
        </w:rPr>
      </w:pPr>
    </w:p>
    <w:p w14:paraId="5B4157ED" w14:textId="74D6FF27" w:rsidR="00C23EE3" w:rsidRDefault="00C23EE3">
      <w:pPr>
        <w:rPr>
          <w:sz w:val="20"/>
          <w:szCs w:val="20"/>
        </w:rPr>
      </w:pPr>
    </w:p>
    <w:p w14:paraId="7707761F" w14:textId="744B864F" w:rsidR="00C23EE3" w:rsidRDefault="00C23EE3">
      <w:pPr>
        <w:rPr>
          <w:sz w:val="20"/>
          <w:szCs w:val="20"/>
        </w:rPr>
      </w:pPr>
    </w:p>
    <w:p w14:paraId="106C7911" w14:textId="2C6D381A" w:rsidR="00C23EE3" w:rsidRDefault="00C23EE3">
      <w:pPr>
        <w:rPr>
          <w:sz w:val="20"/>
          <w:szCs w:val="20"/>
        </w:rPr>
      </w:pPr>
    </w:p>
    <w:p w14:paraId="750DF663" w14:textId="2ADA39D1" w:rsidR="00C23EE3" w:rsidRPr="00F06DF1" w:rsidRDefault="00C23EE3">
      <w:pPr>
        <w:rPr>
          <w:sz w:val="20"/>
          <w:szCs w:val="20"/>
        </w:rPr>
      </w:pPr>
    </w:p>
    <w:sectPr w:rsidR="00C23EE3" w:rsidRPr="00F06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altName w:val="Cambria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F1"/>
    <w:rsid w:val="00273BED"/>
    <w:rsid w:val="008867CD"/>
    <w:rsid w:val="00C23EE3"/>
    <w:rsid w:val="00F06DF1"/>
    <w:rsid w:val="00FB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17B0"/>
  <w15:chartTrackingRefBased/>
  <w15:docId w15:val="{C1336CC7-3285-0844-A7FB-A757594A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7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867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86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2023-06-21T11:10:00Z</dcterms:created>
  <dcterms:modified xsi:type="dcterms:W3CDTF">2023-06-23T15:07:00Z</dcterms:modified>
</cp:coreProperties>
</file>