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p</m:t>
        </m:r>
        <m:r>
          <m:rPr>
            <m:scr m:val="script"/>
          </m:rPr>
          <w:rPr>
            <w:rFonts w:ascii="Cambria Math" w:eastAsiaTheme="minorEastAsia" w:hAnsi="Cambria Math"/>
            <w:sz w:val="20"/>
            <w:szCs w:val="20"/>
          </w:rPr>
          <m:t>: S×</m:t>
        </m:r>
        <m:r>
          <m:rPr>
            <m:scr m:val="script"/>
          </m:rPr>
          <w:rPr>
            <w:rFonts w:ascii="Cambria Math" w:eastAsiaTheme="minorEastAsia" w:hAnsi="Cambria Math"/>
            <w:sz w:val="20"/>
            <w:szCs w:val="20"/>
          </w:rPr>
          <m:t>S</m:t>
        </m:r>
        <m:r>
          <w:rPr>
            <w:rFonts w:ascii="Cambria Math" w:eastAsiaTheme="minorEastAsia" w:hAnsi="Cambria Math"/>
            <w:sz w:val="20"/>
            <w:szCs w:val="20"/>
          </w:rPr>
          <m:t>×</m:t>
        </m:r>
        <m:r>
          <m:rPr>
            <m:scr m:val="script"/>
          </m:rPr>
          <w:rPr>
            <w:rFonts w:ascii="Cambria Math" w:eastAsiaTheme="minorEastAsia" w:hAnsi="Cambria Math"/>
            <w:sz w:val="20"/>
            <w:szCs w:val="20"/>
          </w:rPr>
          <m:t>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r</m:t>
        </m:r>
        <m:r>
          <w:rPr>
            <w:rFonts w:ascii="Cambria Math" w:eastAsiaTheme="minorEastAsia" w:hAnsi="Cambria Math"/>
            <w:sz w:val="20"/>
            <w:szCs w:val="20"/>
          </w:rPr>
          <m:t xml:space="preserve">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r</m:t>
        </m:r>
        <m:r>
          <m:rPr>
            <m:scr m:val="script"/>
          </m:rPr>
          <w:rPr>
            <w:rFonts w:ascii="Cambria Math" w:eastAsiaTheme="minorEastAsia" w:hAnsi="Cambria Math"/>
            <w:sz w:val="20"/>
            <w:szCs w:val="20"/>
          </w:rPr>
          <m:t xml:space="preserve"> : 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4936E35C" w:rsidR="006D103B" w:rsidRDefault="006D103B">
      <w:pPr>
        <w:rPr>
          <w:rFonts w:eastAsiaTheme="minorEastAsia"/>
          <w:sz w:val="20"/>
          <w:szCs w:val="20"/>
        </w:rPr>
      </w:pPr>
    </w:p>
    <w:p w14:paraId="59BD0E1F" w14:textId="313386C6" w:rsidR="006D103B" w:rsidRDefault="009E6155" w:rsidP="009E6155">
      <w:pPr>
        <w:pStyle w:val="Heading2"/>
      </w:pPr>
      <w:r>
        <w:t>Goals and Rewards</w:t>
      </w:r>
    </w:p>
    <w:p w14:paraId="5B6D5915" w14:textId="6CE2EC79"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2BEFFE02" w:rsidR="00203783" w:rsidRDefault="00203783">
      <w:pPr>
        <w:rPr>
          <w:rFonts w:eastAsiaTheme="minorEastAsia"/>
          <w:sz w:val="20"/>
          <w:szCs w:val="20"/>
        </w:rPr>
      </w:pPr>
    </w:p>
    <w:p w14:paraId="30F06825" w14:textId="54B2CFCD"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01B125E4" w14:textId="04074245" w:rsidR="0062730E" w:rsidRDefault="0062730E">
      <w:pPr>
        <w:rPr>
          <w:rFonts w:eastAsiaTheme="minorEastAsia"/>
          <w:sz w:val="20"/>
          <w:szCs w:val="20"/>
        </w:rPr>
      </w:pPr>
    </w:p>
    <w:p w14:paraId="25860B84" w14:textId="77777777" w:rsidR="0062730E" w:rsidRDefault="0062730E">
      <w:pPr>
        <w:rPr>
          <w:rFonts w:eastAsiaTheme="minorEastAsia"/>
          <w:sz w:val="20"/>
          <w:szCs w:val="20"/>
        </w:rPr>
      </w:pPr>
    </w:p>
    <w:p w14:paraId="3EBC3EB3" w14:textId="39CE528F" w:rsidR="00C0365B" w:rsidRPr="00BB1E2B" w:rsidRDefault="00BB1E2B">
      <w:pPr>
        <w:rPr>
          <w:rFonts w:eastAsiaTheme="minorEastAsia"/>
          <w:b/>
          <w:bCs/>
          <w:sz w:val="20"/>
          <w:szCs w:val="20"/>
        </w:rPr>
      </w:pPr>
      <w:r>
        <w:rPr>
          <w:rFonts w:eastAsiaTheme="minorEastAsia"/>
          <w:sz w:val="20"/>
          <w:szCs w:val="20"/>
        </w:rPr>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p>
    <w:p w14:paraId="20C63951" w14:textId="0CFF71C5" w:rsidR="009E6155" w:rsidRDefault="00C0365B">
      <w:pPr>
        <w:rPr>
          <w:sz w:val="20"/>
          <w:szCs w:val="20"/>
        </w:rPr>
      </w:pPr>
      <w:r>
        <w:rPr>
          <w:sz w:val="20"/>
          <w:szCs w:val="20"/>
        </w:rPr>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lastRenderedPageBreak/>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91B6" w14:textId="77777777" w:rsidR="00BD148D" w:rsidRDefault="00BD148D" w:rsidP="00D65C27">
      <w:r>
        <w:separator/>
      </w:r>
    </w:p>
  </w:endnote>
  <w:endnote w:type="continuationSeparator" w:id="0">
    <w:p w14:paraId="2D23FDC4" w14:textId="77777777" w:rsidR="00BD148D" w:rsidRDefault="00BD148D"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537A6" w14:textId="77777777" w:rsidR="00BD148D" w:rsidRDefault="00BD148D" w:rsidP="00D65C27">
      <w:r>
        <w:separator/>
      </w:r>
    </w:p>
  </w:footnote>
  <w:footnote w:type="continuationSeparator" w:id="0">
    <w:p w14:paraId="65090422" w14:textId="77777777" w:rsidR="00BD148D" w:rsidRDefault="00BD148D"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A70FF"/>
    <w:rsid w:val="00132853"/>
    <w:rsid w:val="00132975"/>
    <w:rsid w:val="00140B30"/>
    <w:rsid w:val="00172F85"/>
    <w:rsid w:val="001C4382"/>
    <w:rsid w:val="00203783"/>
    <w:rsid w:val="00257D81"/>
    <w:rsid w:val="00260560"/>
    <w:rsid w:val="00273BED"/>
    <w:rsid w:val="002C034E"/>
    <w:rsid w:val="00410D46"/>
    <w:rsid w:val="0052781C"/>
    <w:rsid w:val="005A5F58"/>
    <w:rsid w:val="0062730E"/>
    <w:rsid w:val="006456A6"/>
    <w:rsid w:val="006D103B"/>
    <w:rsid w:val="00703489"/>
    <w:rsid w:val="007F3FB8"/>
    <w:rsid w:val="00820B6A"/>
    <w:rsid w:val="00861172"/>
    <w:rsid w:val="008867CD"/>
    <w:rsid w:val="009066F8"/>
    <w:rsid w:val="00962F19"/>
    <w:rsid w:val="00980677"/>
    <w:rsid w:val="009D0335"/>
    <w:rsid w:val="009E6155"/>
    <w:rsid w:val="00A72977"/>
    <w:rsid w:val="00AD5686"/>
    <w:rsid w:val="00AE4EB9"/>
    <w:rsid w:val="00B45800"/>
    <w:rsid w:val="00B95977"/>
    <w:rsid w:val="00BB1E2B"/>
    <w:rsid w:val="00BD148D"/>
    <w:rsid w:val="00BF1C86"/>
    <w:rsid w:val="00C0365B"/>
    <w:rsid w:val="00C23EE3"/>
    <w:rsid w:val="00D01569"/>
    <w:rsid w:val="00D522EE"/>
    <w:rsid w:val="00D65C27"/>
    <w:rsid w:val="00E413D1"/>
    <w:rsid w:val="00E61BFA"/>
    <w:rsid w:val="00F06DF1"/>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27</cp:revision>
  <dcterms:created xsi:type="dcterms:W3CDTF">2023-06-24T13:49:00Z</dcterms:created>
  <dcterms:modified xsi:type="dcterms:W3CDTF">2023-07-08T21:19:00Z</dcterms:modified>
</cp:coreProperties>
</file>