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02B81" w14:textId="19444B64" w:rsidR="00503FD8" w:rsidRDefault="000B5007" w:rsidP="000B5007">
      <w:pPr>
        <w:pStyle w:val="Title"/>
      </w:pPr>
      <w:r>
        <w:t>The Cross-Entropy Method</w:t>
      </w:r>
    </w:p>
    <w:p w14:paraId="1208B768" w14:textId="4B77AC40" w:rsidR="000B5007" w:rsidRDefault="000B5007" w:rsidP="000B5007">
      <w:r>
        <w:t>compiled by D.Gueorguiev 3/20/25</w:t>
      </w:r>
    </w:p>
    <w:p w14:paraId="33C1B61E" w14:textId="77777777" w:rsidR="000B5007" w:rsidRDefault="000B5007" w:rsidP="000B5007"/>
    <w:p w14:paraId="3D678E39" w14:textId="3204D629" w:rsidR="000B5007" w:rsidRDefault="00D24551" w:rsidP="000B5007">
      <w:r>
        <w:t>The travelling salesman problem (TSP), the quadratic assignment problem (QAP), and the max-cut problem (MCP) are combinatorial optimization problems where the problem studied is completely known and static. In contrast, the buffer allocation problem (BAP) is a noisy estimation problem where the objective function needs to be estimated since it is unknown.</w:t>
      </w:r>
    </w:p>
    <w:p w14:paraId="72FF0DB6" w14:textId="77777777" w:rsidR="000B5007" w:rsidRDefault="000B5007" w:rsidP="000B5007"/>
    <w:p w14:paraId="39C2A386" w14:textId="3ADC6D74" w:rsidR="000B5007" w:rsidRDefault="000B5007" w:rsidP="000B5007">
      <w:pPr>
        <w:pStyle w:val="Heading1"/>
      </w:pPr>
      <w:r>
        <w:t>References</w:t>
      </w:r>
    </w:p>
    <w:p w14:paraId="2452B377" w14:textId="35336A40" w:rsidR="000B5007" w:rsidRPr="000B5007" w:rsidRDefault="000B5007" w:rsidP="000B5007">
      <w:pPr>
        <w:rPr>
          <w:shd w:val="clear" w:color="auto" w:fill="FFFFFF"/>
        </w:rPr>
      </w:pPr>
      <w:r>
        <w:t xml:space="preserve">[1] </w:t>
      </w:r>
      <w:hyperlink r:id="rId4" w:history="1">
        <w:r w:rsidRPr="00E56367">
          <w:rPr>
            <w:rStyle w:val="Hyperlink"/>
          </w:rPr>
          <w:t>A Tutorial On The Cross-Entropy Method, Pieter-Tjerk de Boer et al, MIT, 2003</w:t>
        </w:r>
      </w:hyperlink>
    </w:p>
    <w:p w14:paraId="125E299F" w14:textId="16C8D49A" w:rsidR="000B5007" w:rsidRDefault="000B5007" w:rsidP="000B5007">
      <w:r>
        <w:t>[</w:t>
      </w:r>
      <w:r>
        <w:t>2</w:t>
      </w:r>
      <w:r>
        <w:t xml:space="preserve">] </w:t>
      </w:r>
      <w:hyperlink r:id="rId5" w:history="1">
        <w:r w:rsidRPr="00E56367">
          <w:rPr>
            <w:rStyle w:val="Hyperlink"/>
          </w:rPr>
          <w:t>Learning Tetris Using the Noisy Cross-Entropy Method, Istvan Szita, Andras Loerincz, 2006</w:t>
        </w:r>
      </w:hyperlink>
    </w:p>
    <w:p w14:paraId="416F6DBC" w14:textId="1A7CC40C" w:rsidR="000B5007" w:rsidRDefault="000B5007" w:rsidP="000B5007">
      <w:r>
        <w:t>[</w:t>
      </w:r>
      <w:r>
        <w:t>3</w:t>
      </w:r>
      <w:r>
        <w:t xml:space="preserve">] </w:t>
      </w:r>
      <w:hyperlink r:id="rId6" w:history="1">
        <w:r w:rsidRPr="00E56367">
          <w:rPr>
            <w:rStyle w:val="Hyperlink"/>
          </w:rPr>
          <w:t>Approximate Dynamic Programming Finally Performs Well In The Game of Tetris, Victor Gabillon et al, INRIA, 2013</w:t>
        </w:r>
      </w:hyperlink>
    </w:p>
    <w:p w14:paraId="37D31DF0" w14:textId="5073519B" w:rsidR="00A106AD" w:rsidRDefault="00A106AD" w:rsidP="000B5007">
      <w:r>
        <w:t xml:space="preserve">[4] </w:t>
      </w:r>
      <w:hyperlink r:id="rId7" w:history="1">
        <w:r w:rsidRPr="00F529F2">
          <w:rPr>
            <w:rStyle w:val="Hyperlink"/>
          </w:rPr>
          <w:t>https://en.wikipedia.org/wiki/Cross-entropy_method</w:t>
        </w:r>
      </w:hyperlink>
    </w:p>
    <w:p w14:paraId="4666F891" w14:textId="6650D412" w:rsidR="00A106AD" w:rsidRDefault="00A106AD" w:rsidP="000B5007">
      <w:r>
        <w:t xml:space="preserve">[5] </w:t>
      </w:r>
      <w:hyperlink r:id="rId8" w:history="1">
        <w:r w:rsidRPr="00A106AD">
          <w:rPr>
            <w:rStyle w:val="Hyperlink"/>
          </w:rPr>
          <w:t>The Cross-Entropy Method: A Unified Approach to Combinatorial Optimization, Monte-Carlo Simulation and Machine Learning, RY Rubinstein, DP Kroese, 2004</w:t>
        </w:r>
      </w:hyperlink>
    </w:p>
    <w:p w14:paraId="35E270BB" w14:textId="77777777" w:rsidR="000B5007" w:rsidRDefault="000B5007" w:rsidP="000B5007"/>
    <w:p w14:paraId="70178DC8" w14:textId="77777777" w:rsidR="001E1648" w:rsidRDefault="001E1648" w:rsidP="000B5007"/>
    <w:p w14:paraId="71F464E4" w14:textId="11FD0557" w:rsidR="001E1648" w:rsidRDefault="001E1648" w:rsidP="009C3A6E">
      <w:pPr>
        <w:pStyle w:val="Heading1"/>
      </w:pPr>
      <w:r>
        <w:t>Appendix</w:t>
      </w:r>
    </w:p>
    <w:p w14:paraId="705B048F" w14:textId="729129A6" w:rsidR="001E1648" w:rsidRDefault="001E1648" w:rsidP="009C3A6E">
      <w:pPr>
        <w:pStyle w:val="Heading2"/>
      </w:pPr>
      <w:r>
        <w:t xml:space="preserve">The </w:t>
      </w:r>
      <w:r w:rsidR="009C3A6E">
        <w:t>Buffer Allocation Problem</w:t>
      </w:r>
    </w:p>
    <w:p w14:paraId="4E49B36C" w14:textId="77777777" w:rsidR="009C3A6E" w:rsidRDefault="009C3A6E" w:rsidP="000B5007"/>
    <w:p w14:paraId="3CBC2057" w14:textId="7D23D686" w:rsidR="009C3A6E" w:rsidRDefault="009C3A6E" w:rsidP="000B5007">
      <w:r>
        <w:t>The BAP finds the optimal buffer capacity on each stage in a flow line i.e. the minimum buffer capacity able to guarantee the target throughput.</w:t>
      </w:r>
    </w:p>
    <w:p w14:paraId="3D2F9229" w14:textId="77777777" w:rsidR="009C3A6E" w:rsidRDefault="009C3A6E" w:rsidP="000B5007"/>
    <w:p w14:paraId="5C006DC9" w14:textId="758BC1FD" w:rsidR="009C3A6E" w:rsidRDefault="009C3A6E" w:rsidP="000B5007">
      <w:r>
        <w:t>Let us consider a flow as depicted in the Figure below:</w:t>
      </w:r>
    </w:p>
    <w:p w14:paraId="1CE8FFC7" w14:textId="77777777" w:rsidR="009C3A6E" w:rsidRDefault="009C3A6E" w:rsidP="000B5007"/>
    <w:p w14:paraId="434E4B10" w14:textId="4F34CF14" w:rsidR="009C3A6E" w:rsidRDefault="009C3A6E" w:rsidP="000B5007">
      <w:r>
        <w:rPr>
          <w:noProof/>
        </w:rPr>
        <w:drawing>
          <wp:inline distT="0" distB="0" distL="0" distR="0" wp14:anchorId="37F91818" wp14:editId="26544080">
            <wp:extent cx="5164406" cy="950670"/>
            <wp:effectExtent l="0" t="0" r="5080" b="1905"/>
            <wp:docPr id="103341556"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41556" name="Picture 1" descr="A diagram of a block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32512" cy="963207"/>
                    </a:xfrm>
                    <a:prstGeom prst="rect">
                      <a:avLst/>
                    </a:prstGeom>
                  </pic:spPr>
                </pic:pic>
              </a:graphicData>
            </a:graphic>
          </wp:inline>
        </w:drawing>
      </w:r>
    </w:p>
    <w:p w14:paraId="355F0532" w14:textId="32943E54" w:rsidR="009C3A6E" w:rsidRDefault="009C3A6E" w:rsidP="000B5007">
      <w:r>
        <w:t xml:space="preserve">          Figure 1: flow line under consideration in the BAP</w:t>
      </w:r>
    </w:p>
    <w:p w14:paraId="21D86D1D" w14:textId="77777777" w:rsidR="009C3A6E" w:rsidRDefault="009C3A6E" w:rsidP="000B5007"/>
    <w:p w14:paraId="2BA2F9C2" w14:textId="2A484CE2" w:rsidR="009C3A6E" w:rsidRDefault="00CD2808" w:rsidP="000B5007">
      <w:pPr>
        <w:rPr>
          <w:rFonts w:eastAsiaTheme="minorEastAsia"/>
        </w:rPr>
      </w:pPr>
      <w:r>
        <w:t xml:space="preserve">There are </w:t>
      </w:r>
      <m:oMath>
        <m:r>
          <w:rPr>
            <w:rFonts w:ascii="Cambria Math" w:hAnsi="Cambria Math"/>
          </w:rPr>
          <m:t>J</m:t>
        </m:r>
      </m:oMath>
      <w:r>
        <w:t xml:space="preserve"> machines, depicted with circles, and </w:t>
      </w:r>
      <m:oMath>
        <m:r>
          <w:rPr>
            <w:rFonts w:ascii="Cambria Math" w:hAnsi="Cambria Math"/>
          </w:rPr>
          <m:t>J-1</m:t>
        </m:r>
      </m:oMath>
      <w:r>
        <w:t xml:space="preserve"> inter-machine buffers of finite capacity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hAnsi="Cambria Math"/>
              </w:rPr>
              <m:t>1</m:t>
            </m:r>
          </m:sub>
        </m:sSub>
      </m:oMath>
      <w:r>
        <w:rPr>
          <w:rFonts w:eastAsiaTheme="minorEastAsia"/>
        </w:rPr>
        <w:t xml:space="preserve">. All parts are processed by all machines of the line, ordered according to the arrival sequence. Parts are always available in front of the first machine, and parts can immediately leave the system after being processed by the last machine. </w:t>
      </w:r>
      <w:r w:rsidR="00B07F64">
        <w:rPr>
          <w:rFonts w:eastAsiaTheme="minorEastAsia"/>
        </w:rPr>
        <w:t xml:space="preserve">The inter-machine buffer </w:t>
      </w:r>
      <m:oMath>
        <m:r>
          <w:rPr>
            <w:rFonts w:ascii="Cambria Math" w:eastAsiaTheme="minorEastAsia" w:hAnsi="Cambria Math"/>
          </w:rPr>
          <m:t>j</m:t>
        </m:r>
      </m:oMath>
      <w:r w:rsidR="00B07F64">
        <w:rPr>
          <w:rFonts w:eastAsiaTheme="minorEastAsia"/>
        </w:rPr>
        <w:t xml:space="preserve"> has finite capacity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00B07F64">
        <w:rPr>
          <w:rFonts w:eastAsiaTheme="minorEastAsia"/>
        </w:rPr>
        <w:t xml:space="preserve">. A full buffer causes the </w:t>
      </w:r>
      <w:r w:rsidR="00B07F64" w:rsidRPr="00B07F64">
        <w:rPr>
          <w:rFonts w:eastAsiaTheme="minorEastAsia"/>
          <w:i/>
          <w:iCs/>
        </w:rPr>
        <w:t>blocking</w:t>
      </w:r>
      <w:r w:rsidR="00B07F64">
        <w:rPr>
          <w:rFonts w:eastAsiaTheme="minorEastAsia"/>
        </w:rPr>
        <w:t xml:space="preserve"> of the upstream machine, and an empty buffer causes the </w:t>
      </w:r>
      <w:r w:rsidR="00B07F64" w:rsidRPr="00B07F64">
        <w:rPr>
          <w:rFonts w:eastAsiaTheme="minorEastAsia"/>
          <w:i/>
          <w:iCs/>
        </w:rPr>
        <w:t>starvation</w:t>
      </w:r>
      <w:r w:rsidR="00B07F64">
        <w:rPr>
          <w:rFonts w:eastAsiaTheme="minorEastAsia"/>
        </w:rPr>
        <w:t xml:space="preserve"> of the downstream machine.</w:t>
      </w:r>
      <w:r w:rsidR="00571244">
        <w:rPr>
          <w:rFonts w:eastAsiaTheme="minorEastAsia"/>
        </w:rPr>
        <w:t xml:space="preserve"> The processing times of each machine can be generated as independent and identically distributed variables from a general </w:t>
      </w:r>
      <w:r w:rsidR="0065523B">
        <w:rPr>
          <w:rFonts w:eastAsiaTheme="minorEastAsia"/>
        </w:rPr>
        <w:t>distribution or</w:t>
      </w:r>
      <w:r w:rsidR="00571244">
        <w:rPr>
          <w:rFonts w:eastAsiaTheme="minorEastAsia"/>
        </w:rPr>
        <w:t xml:space="preserve"> calculated as the sum of the two variables corresponding to the processing and the repair time, if the machine is considered unreliable. </w:t>
      </w:r>
      <w:r w:rsidR="0065523B">
        <w:rPr>
          <w:rFonts w:eastAsiaTheme="minorEastAsia"/>
        </w:rPr>
        <w:t xml:space="preserve">The term </w:t>
      </w:r>
      <w:r w:rsidR="0065523B" w:rsidRPr="0065523B">
        <w:rPr>
          <w:rFonts w:eastAsiaTheme="minorEastAsia"/>
          <w:i/>
          <w:iCs/>
        </w:rPr>
        <w:t>processing time</w:t>
      </w:r>
      <w:r w:rsidR="0065523B">
        <w:rPr>
          <w:rFonts w:eastAsiaTheme="minorEastAsia"/>
        </w:rPr>
        <w:t xml:space="preserve"> will represent the processing time of reliable machines, and the processing time without including the repair time of unreliable machines. </w:t>
      </w:r>
    </w:p>
    <w:p w14:paraId="2D0E65F2" w14:textId="77777777" w:rsidR="0065523B" w:rsidRDefault="0065523B" w:rsidP="000B5007">
      <w:pPr>
        <w:rPr>
          <w:rFonts w:eastAsiaTheme="minorEastAsia"/>
        </w:rPr>
      </w:pPr>
    </w:p>
    <w:p w14:paraId="20088C7D" w14:textId="2C69DF66" w:rsidR="0065523B" w:rsidRPr="0065523B" w:rsidRDefault="0065523B" w:rsidP="000B5007">
      <w:pPr>
        <w:rPr>
          <w:rFonts w:eastAsiaTheme="minorEastAsia"/>
          <w:b/>
          <w:bCs/>
        </w:rPr>
      </w:pPr>
      <w:r w:rsidRPr="0065523B">
        <w:rPr>
          <w:rFonts w:eastAsiaTheme="minorEastAsia"/>
          <w:b/>
          <w:bCs/>
        </w:rPr>
        <w:t>Notation</w:t>
      </w:r>
    </w:p>
    <w:p w14:paraId="54BBC834" w14:textId="055F2E72" w:rsidR="0065523B" w:rsidRDefault="0065523B" w:rsidP="000B5007">
      <w:pPr>
        <w:rPr>
          <w:rFonts w:eastAsiaTheme="minorEastAsia"/>
        </w:rPr>
      </w:pPr>
      <m:oMath>
        <m:r>
          <w:rPr>
            <w:rFonts w:ascii="Cambria Math" w:hAnsi="Cambria Math"/>
          </w:rPr>
          <m:t>j</m:t>
        </m:r>
        <m:r>
          <m:rPr>
            <m:scr m:val="script"/>
          </m:rPr>
          <w:rPr>
            <w:rFonts w:ascii="Cambria Math" w:hAnsi="Cambria Math"/>
          </w:rPr>
          <m:t>∈J=</m:t>
        </m:r>
        <m:d>
          <m:dPr>
            <m:begChr m:val="{"/>
            <m:endChr m:val="}"/>
            <m:ctrlPr>
              <w:rPr>
                <w:rFonts w:ascii="Cambria Math" w:hAnsi="Cambria Math"/>
                <w:i/>
              </w:rPr>
            </m:ctrlPr>
          </m:dPr>
          <m:e>
            <m:r>
              <w:rPr>
                <w:rFonts w:ascii="Cambria Math" w:hAnsi="Cambria Math"/>
              </w:rPr>
              <m:t>1,…,J</m:t>
            </m:r>
          </m:e>
        </m:d>
      </m:oMath>
      <w:r>
        <w:rPr>
          <w:rFonts w:eastAsiaTheme="minorEastAsia"/>
        </w:rPr>
        <w:t xml:space="preserve">  </w:t>
      </w:r>
      <w:r w:rsidR="00CF64D6">
        <w:rPr>
          <w:rFonts w:eastAsiaTheme="minorEastAsia"/>
        </w:rPr>
        <w:t xml:space="preserve">    </w:t>
      </w:r>
      <w:r w:rsidR="002A30C7">
        <w:rPr>
          <w:rFonts w:eastAsiaTheme="minorEastAsia"/>
        </w:rPr>
        <w:t xml:space="preserve">                      </w:t>
      </w:r>
      <w:r>
        <w:rPr>
          <w:rFonts w:eastAsiaTheme="minorEastAsia"/>
        </w:rPr>
        <w:t>index , set and number of system stages</w:t>
      </w:r>
    </w:p>
    <w:p w14:paraId="48E4DD19" w14:textId="7D6F806B" w:rsidR="0065523B" w:rsidRDefault="0065523B" w:rsidP="000B5007">
      <w:pPr>
        <w:rPr>
          <w:rFonts w:eastAsiaTheme="minorEastAsia"/>
        </w:rPr>
      </w:pPr>
      <m:oMath>
        <m:sSup>
          <m:sSupPr>
            <m:ctrlPr>
              <w:rPr>
                <w:rFonts w:ascii="Cambria Math" w:hAnsi="Cambria Math"/>
                <w:i/>
              </w:rPr>
            </m:ctrlPr>
          </m:sSupPr>
          <m:e>
            <m:r>
              <m:rPr>
                <m:scr m:val="script"/>
              </m:rPr>
              <w:rPr>
                <w:rFonts w:ascii="Cambria Math" w:hAnsi="Cambria Math"/>
              </w:rPr>
              <m:t>J</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1,…,J-1</m:t>
            </m:r>
          </m:e>
        </m:d>
      </m:oMath>
      <w:r>
        <w:rPr>
          <w:rFonts w:eastAsiaTheme="minorEastAsia"/>
        </w:rPr>
        <w:t xml:space="preserve"> </w:t>
      </w:r>
      <w:r w:rsidR="00CF64D6">
        <w:rPr>
          <w:rFonts w:eastAsiaTheme="minorEastAsia"/>
        </w:rPr>
        <w:t xml:space="preserve">  </w:t>
      </w:r>
      <w:r w:rsidR="002A30C7">
        <w:rPr>
          <w:rFonts w:eastAsiaTheme="minorEastAsia"/>
        </w:rPr>
        <w:t xml:space="preserve">                       </w:t>
      </w:r>
      <w:r>
        <w:rPr>
          <w:rFonts w:eastAsiaTheme="minorEastAsia"/>
        </w:rPr>
        <w:t>set of all the stages but the last one</w:t>
      </w:r>
    </w:p>
    <w:p w14:paraId="066E0AF6" w14:textId="626885D0" w:rsidR="0065523B" w:rsidRDefault="00CF64D6" w:rsidP="000B5007">
      <w:pPr>
        <w:rPr>
          <w:rFonts w:eastAsiaTheme="minorEastAsia"/>
        </w:rPr>
      </w:pPr>
      <m:oMath>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eastAsiaTheme="minorEastAsia" w:hAnsi="Cambria Math"/>
          </w:rPr>
          <m:t xml:space="preserve"> ∀ j∈</m:t>
        </m:r>
        <m:sSup>
          <m:sSupPr>
            <m:ctrlPr>
              <w:rPr>
                <w:rFonts w:ascii="Cambria Math" w:hAnsi="Cambria Math"/>
                <w:i/>
              </w:rPr>
            </m:ctrlPr>
          </m:sSupPr>
          <m:e>
            <m:r>
              <m:rPr>
                <m:scr m:val="script"/>
              </m:rPr>
              <w:rPr>
                <w:rFonts w:ascii="Cambria Math" w:hAnsi="Cambria Math"/>
              </w:rPr>
              <m:t>J</m:t>
            </m:r>
          </m:e>
          <m:sup>
            <m:r>
              <w:rPr>
                <w:rFonts w:ascii="Cambria Math" w:hAnsi="Cambria Math"/>
              </w:rPr>
              <m:t>'</m:t>
            </m:r>
          </m:sup>
        </m:sSup>
      </m:oMath>
      <w:r w:rsidR="0065523B">
        <w:t xml:space="preserve"> </w:t>
      </w:r>
      <w:r>
        <w:t xml:space="preserve">          </w:t>
      </w:r>
      <w:r w:rsidR="002A30C7">
        <w:t xml:space="preserve">                       </w:t>
      </w:r>
      <w:r>
        <w:t xml:space="preserve">lower and upper bound of the capacity of buffer </w:t>
      </w:r>
      <m:oMath>
        <m:r>
          <w:rPr>
            <w:rFonts w:ascii="Cambria Math" w:hAnsi="Cambria Math"/>
          </w:rPr>
          <m:t>j</m:t>
        </m:r>
      </m:oMath>
    </w:p>
    <w:p w14:paraId="7C26E8DD" w14:textId="4497C095" w:rsidR="00CF64D6" w:rsidRDefault="00CF64D6" w:rsidP="000B5007">
      <w:pPr>
        <w:rPr>
          <w:rFonts w:eastAsiaTheme="minorEastAsia"/>
        </w:rPr>
      </w:pPr>
      <m:oMath>
        <m:r>
          <w:rPr>
            <w:rFonts w:ascii="Cambria Math" w:eastAsiaTheme="minorEastAsia" w:hAnsi="Cambria Math"/>
          </w:rPr>
          <m:t>i</m:t>
        </m:r>
        <m:r>
          <m:rPr>
            <m:scr m:val="script"/>
          </m:rP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1,…,I</m:t>
            </m:r>
          </m:e>
        </m:d>
      </m:oMath>
      <w:r>
        <w:rPr>
          <w:rFonts w:eastAsiaTheme="minorEastAsia"/>
        </w:rPr>
        <w:t xml:space="preserve">      </w:t>
      </w:r>
      <w:r w:rsidR="002A30C7">
        <w:rPr>
          <w:rFonts w:eastAsiaTheme="minorEastAsia"/>
        </w:rPr>
        <w:t xml:space="preserve">                       </w:t>
      </w:r>
      <w:r>
        <w:rPr>
          <w:rFonts w:eastAsiaTheme="minorEastAsia"/>
        </w:rPr>
        <w:t>index, set and number of parts in the simulation horizon</w:t>
      </w:r>
    </w:p>
    <w:p w14:paraId="63383BB6" w14:textId="094AAB89" w:rsidR="00DB293D" w:rsidRDefault="002A30C7" w:rsidP="000B5007">
      <w:p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 xml:space="preserve"> ∀ i</m:t>
        </m:r>
        <m:r>
          <m:rPr>
            <m:scr m:val="script"/>
          </m:rPr>
          <w:rPr>
            <w:rFonts w:ascii="Cambria Math" w:hAnsi="Cambria Math"/>
          </w:rPr>
          <m:t xml:space="preserve">∈I, </m:t>
        </m:r>
        <m:r>
          <w:rPr>
            <w:rFonts w:ascii="Cambria Math" w:hAnsi="Cambria Math"/>
          </w:rPr>
          <m:t>j∈</m:t>
        </m:r>
        <m:r>
          <m:rPr>
            <m:scr m:val="script"/>
          </m:rPr>
          <w:rPr>
            <w:rFonts w:ascii="Cambria Math" w:hAnsi="Cambria Math"/>
          </w:rPr>
          <m:t>J</m:t>
        </m:r>
      </m:oMath>
      <w:r>
        <w:rPr>
          <w:rFonts w:eastAsiaTheme="minorEastAsia"/>
        </w:rPr>
        <w:t xml:space="preserve">                             processing time of part </w:t>
      </w:r>
      <m:oMath>
        <m:r>
          <w:rPr>
            <w:rFonts w:ascii="Cambria Math" w:eastAsiaTheme="minorEastAsia" w:hAnsi="Cambria Math"/>
          </w:rPr>
          <m:t>i</m:t>
        </m:r>
      </m:oMath>
      <w:r>
        <w:rPr>
          <w:rFonts w:eastAsiaTheme="minorEastAsia"/>
        </w:rPr>
        <w:t xml:space="preserve"> at machine </w:t>
      </w:r>
      <m:oMath>
        <m:r>
          <w:rPr>
            <w:rFonts w:ascii="Cambria Math" w:eastAsiaTheme="minorEastAsia" w:hAnsi="Cambria Math"/>
          </w:rPr>
          <m:t>j</m:t>
        </m:r>
      </m:oMath>
    </w:p>
    <w:p w14:paraId="1AE75273" w14:textId="7C815FEA" w:rsidR="002A30C7" w:rsidRDefault="002A30C7" w:rsidP="000B5007">
      <w:pPr>
        <w:rPr>
          <w:rFonts w:eastAsiaTheme="minorEastAsia"/>
        </w:rPr>
      </w:pPr>
      <m:oMath>
        <m:r>
          <w:rPr>
            <w:rFonts w:ascii="Cambria Math" w:eastAsiaTheme="minorEastAsia" w:hAnsi="Cambria Math"/>
          </w:rPr>
          <m:t>k</m:t>
        </m:r>
      </m:oMath>
      <w:r>
        <w:rPr>
          <w:rFonts w:eastAsiaTheme="minorEastAsia"/>
        </w:rPr>
        <w:t xml:space="preserve">                                                            buffer capacity index</w:t>
      </w:r>
    </w:p>
    <w:p w14:paraId="3E30277D" w14:textId="66E001C0" w:rsidR="002A30C7" w:rsidRDefault="002A30C7" w:rsidP="000B5007">
      <w:pPr>
        <w:rPr>
          <w:rFonts w:eastAsiaTheme="minorEastAsia"/>
        </w:rPr>
      </w:pPr>
      <m:oMath>
        <m:sSub>
          <m:sSubPr>
            <m:ctrlPr>
              <w:rPr>
                <w:rFonts w:ascii="Cambria Math" w:hAnsi="Cambria Math"/>
                <w:i/>
              </w:rPr>
            </m:ctrlPr>
          </m:sSubPr>
          <m:e>
            <m:r>
              <m:rPr>
                <m:scr m:val="script"/>
              </m:rPr>
              <w:rPr>
                <w:rFonts w:ascii="Cambria Math" w:hAnsi="Cambria Math"/>
              </w:rPr>
              <m:t>K</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m:t>
            </m:r>
            <m:sSub>
              <m:sSubPr>
                <m:ctrlPr>
                  <w:rPr>
                    <w:rFonts w:ascii="Cambria Math" w:hAnsi="Cambria Math"/>
                    <w:i/>
                  </w:rPr>
                </m:ctrlPr>
              </m:sSubPr>
              <m:e>
                <m:r>
                  <w:rPr>
                    <w:rFonts w:ascii="Cambria Math" w:hAnsi="Cambria Math"/>
                  </w:rPr>
                  <m:t>U</m:t>
                </m:r>
              </m:e>
              <m:sub>
                <m:r>
                  <w:rPr>
                    <w:rFonts w:ascii="Cambria Math" w:hAnsi="Cambria Math"/>
                  </w:rPr>
                  <m:t>j</m:t>
                </m:r>
              </m:sub>
            </m:sSub>
          </m:e>
        </m:d>
        <m:r>
          <w:rPr>
            <w:rFonts w:ascii="Cambria Math" w:hAnsi="Cambria Math"/>
          </w:rPr>
          <m:t xml:space="preserve"> ∀ j∈</m:t>
        </m:r>
        <m:sSup>
          <m:sSupPr>
            <m:ctrlPr>
              <w:rPr>
                <w:rFonts w:ascii="Cambria Math" w:hAnsi="Cambria Math"/>
                <w:i/>
              </w:rPr>
            </m:ctrlPr>
          </m:sSupPr>
          <m:e>
            <m:r>
              <m:rPr>
                <m:scr m:val="script"/>
              </m:rPr>
              <w:rPr>
                <w:rFonts w:ascii="Cambria Math" w:hAnsi="Cambria Math"/>
              </w:rPr>
              <m:t>J</m:t>
            </m:r>
          </m:e>
          <m:sup>
            <m:r>
              <w:rPr>
                <w:rFonts w:ascii="Cambria Math" w:hAnsi="Cambria Math"/>
              </w:rPr>
              <m:t>'</m:t>
            </m:r>
          </m:sup>
        </m:sSup>
      </m:oMath>
      <w:r>
        <w:rPr>
          <w:rFonts w:eastAsiaTheme="minorEastAsia"/>
        </w:rPr>
        <w:t xml:space="preserve">    set of all the possible capacities for buffer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oMath>
      <w:r>
        <w:rPr>
          <w:rFonts w:eastAsiaTheme="minorEastAsia"/>
        </w:rPr>
        <w:t xml:space="preserve"> except the lower bound</w:t>
      </w:r>
    </w:p>
    <w:p w14:paraId="0F00C16F" w14:textId="77777777" w:rsidR="002A30C7" w:rsidRPr="000B5007" w:rsidRDefault="002A30C7" w:rsidP="000B5007"/>
    <w:sectPr w:rsidR="002A30C7" w:rsidRPr="000B5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07"/>
    <w:rsid w:val="00066B4D"/>
    <w:rsid w:val="000B5007"/>
    <w:rsid w:val="001D66E2"/>
    <w:rsid w:val="001E1648"/>
    <w:rsid w:val="002A30C7"/>
    <w:rsid w:val="00375C0A"/>
    <w:rsid w:val="00503FD8"/>
    <w:rsid w:val="00571244"/>
    <w:rsid w:val="0065523B"/>
    <w:rsid w:val="009C3A6E"/>
    <w:rsid w:val="00A106AD"/>
    <w:rsid w:val="00B07F64"/>
    <w:rsid w:val="00CD2808"/>
    <w:rsid w:val="00CF64D6"/>
    <w:rsid w:val="00D24551"/>
    <w:rsid w:val="00DB2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2145CA"/>
  <w15:chartTrackingRefBased/>
  <w15:docId w15:val="{C1EE5622-C5F9-3E40-B001-4C5D1DB44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007"/>
    <w:rPr>
      <w:rFonts w:ascii="Aptos" w:hAnsi="Aptos"/>
      <w:sz w:val="19"/>
    </w:rPr>
  </w:style>
  <w:style w:type="paragraph" w:styleId="Heading1">
    <w:name w:val="heading 1"/>
    <w:basedOn w:val="Normal"/>
    <w:next w:val="Normal"/>
    <w:link w:val="Heading1Char"/>
    <w:uiPriority w:val="9"/>
    <w:qFormat/>
    <w:rsid w:val="000B5007"/>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9C3A6E"/>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semiHidden/>
    <w:unhideWhenUsed/>
    <w:qFormat/>
    <w:rsid w:val="000B50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50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50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50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0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0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0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007"/>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9C3A6E"/>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semiHidden/>
    <w:rsid w:val="000B50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50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50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50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0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0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007"/>
    <w:rPr>
      <w:rFonts w:eastAsiaTheme="majorEastAsia" w:cstheme="majorBidi"/>
      <w:color w:val="272727" w:themeColor="text1" w:themeTint="D8"/>
    </w:rPr>
  </w:style>
  <w:style w:type="paragraph" w:styleId="Title">
    <w:name w:val="Title"/>
    <w:basedOn w:val="Normal"/>
    <w:next w:val="Normal"/>
    <w:link w:val="TitleChar"/>
    <w:uiPriority w:val="10"/>
    <w:qFormat/>
    <w:rsid w:val="000B5007"/>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0B5007"/>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0B50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0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0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5007"/>
    <w:rPr>
      <w:i/>
      <w:iCs/>
      <w:color w:val="404040" w:themeColor="text1" w:themeTint="BF"/>
    </w:rPr>
  </w:style>
  <w:style w:type="paragraph" w:styleId="ListParagraph">
    <w:name w:val="List Paragraph"/>
    <w:basedOn w:val="Normal"/>
    <w:uiPriority w:val="34"/>
    <w:qFormat/>
    <w:rsid w:val="000B5007"/>
    <w:pPr>
      <w:ind w:left="720"/>
      <w:contextualSpacing/>
    </w:pPr>
  </w:style>
  <w:style w:type="character" w:styleId="IntenseEmphasis">
    <w:name w:val="Intense Emphasis"/>
    <w:basedOn w:val="DefaultParagraphFont"/>
    <w:uiPriority w:val="21"/>
    <w:qFormat/>
    <w:rsid w:val="000B5007"/>
    <w:rPr>
      <w:i/>
      <w:iCs/>
      <w:color w:val="2F5496" w:themeColor="accent1" w:themeShade="BF"/>
    </w:rPr>
  </w:style>
  <w:style w:type="paragraph" w:styleId="IntenseQuote">
    <w:name w:val="Intense Quote"/>
    <w:basedOn w:val="Normal"/>
    <w:next w:val="Normal"/>
    <w:link w:val="IntenseQuoteChar"/>
    <w:uiPriority w:val="30"/>
    <w:qFormat/>
    <w:rsid w:val="000B50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5007"/>
    <w:rPr>
      <w:i/>
      <w:iCs/>
      <w:color w:val="2F5496" w:themeColor="accent1" w:themeShade="BF"/>
    </w:rPr>
  </w:style>
  <w:style w:type="character" w:styleId="IntenseReference">
    <w:name w:val="Intense Reference"/>
    <w:basedOn w:val="DefaultParagraphFont"/>
    <w:uiPriority w:val="32"/>
    <w:qFormat/>
    <w:rsid w:val="000B5007"/>
    <w:rPr>
      <w:b/>
      <w:bCs/>
      <w:smallCaps/>
      <w:color w:val="2F5496" w:themeColor="accent1" w:themeShade="BF"/>
      <w:spacing w:val="5"/>
    </w:rPr>
  </w:style>
  <w:style w:type="character" w:styleId="Hyperlink">
    <w:name w:val="Hyperlink"/>
    <w:basedOn w:val="DefaultParagraphFont"/>
    <w:uiPriority w:val="99"/>
    <w:unhideWhenUsed/>
    <w:rsid w:val="000B5007"/>
    <w:rPr>
      <w:color w:val="0563C1" w:themeColor="hyperlink"/>
      <w:u w:val="single"/>
    </w:rPr>
  </w:style>
  <w:style w:type="character" w:styleId="UnresolvedMention">
    <w:name w:val="Unresolved Mention"/>
    <w:basedOn w:val="DefaultParagraphFont"/>
    <w:uiPriority w:val="99"/>
    <w:semiHidden/>
    <w:unhideWhenUsed/>
    <w:rsid w:val="00A106AD"/>
    <w:rPr>
      <w:color w:val="605E5C"/>
      <w:shd w:val="clear" w:color="auto" w:fill="E1DFDD"/>
    </w:rPr>
  </w:style>
  <w:style w:type="character" w:styleId="PlaceholderText">
    <w:name w:val="Placeholder Text"/>
    <w:basedOn w:val="DefaultParagraphFont"/>
    <w:uiPriority w:val="99"/>
    <w:semiHidden/>
    <w:rsid w:val="00CD280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30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books/The_Cross_Entropy_Method_A_Unified_Approach_Rubinstein_Kroese_2004.pdf" TargetMode="External"/><Relationship Id="rId3" Type="http://schemas.openxmlformats.org/officeDocument/2006/relationships/webSettings" Target="webSettings.xml"/><Relationship Id="rId7" Type="http://schemas.openxmlformats.org/officeDocument/2006/relationships/hyperlink" Target="https://en.wikipedia.org/wiki/Cross-entropy_metho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11" Type="http://schemas.openxmlformats.org/officeDocument/2006/relationships/theme" Target="theme/theme1.xml"/><Relationship Id="rId5"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10" Type="http://schemas.openxmlformats.org/officeDocument/2006/relationships/fontTable" Target="fontTable.xml"/><Relationship Id="rId4" Type="http://schemas.openxmlformats.org/officeDocument/2006/relationships/hyperlink" Target="https://github.com/dimitarpg13/reinforcement_learning_and_game_theory/blob/main/articles/ReinforcementLearning/A_Tutorial_on_the_Cross-Entropy_Method_deBoer_2003.pdf"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9</cp:revision>
  <dcterms:created xsi:type="dcterms:W3CDTF">2025-03-21T00:38:00Z</dcterms:created>
  <dcterms:modified xsi:type="dcterms:W3CDTF">2025-03-21T03:01:00Z</dcterms:modified>
</cp:coreProperties>
</file>