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7B10887E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Root Cause Analysis Algorithm Tuning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06F417B9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D3EB82C" w14:textId="6A949707" w:rsidR="003B5261" w:rsidRDefault="003B526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>
        <w:rPr>
          <w:sz w:val="20"/>
          <w:szCs w:val="20"/>
        </w:rPr>
        <w:t xml:space="preserve"> – the set of all constraints applied to event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and their instances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53CD0CEB" w:rsidR="0088460A" w:rsidRDefault="00893F3A" w:rsidP="00893F3A">
      <w:pPr>
        <w:pStyle w:val="Heading2"/>
      </w:pPr>
      <w:r>
        <w:t>The Problem of Generating Synthetic Data</w:t>
      </w:r>
    </w:p>
    <w:p w14:paraId="7C757260" w14:textId="77777777" w:rsidR="00893F3A" w:rsidRPr="00B30E68" w:rsidRDefault="00893F3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572B2578" w14:textId="2BF848CB" w:rsidR="00B501C9" w:rsidRPr="00F76B77" w:rsidRDefault="00B17612" w:rsidP="00B501C9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</w:t>
      </w:r>
      <w:r w:rsidR="00AE3601" w:rsidRPr="00EB7523">
        <w:rPr>
          <w:i/>
          <w:iCs/>
          <w:sz w:val="20"/>
          <w:szCs w:val="20"/>
        </w:rPr>
        <w:t>minimum total count</w:t>
      </w:r>
      <w:r w:rsidR="00AE360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</w:t>
      </w:r>
      <w:r w:rsidR="001E5551" w:rsidRPr="00EB7523">
        <w:rPr>
          <w:i/>
          <w:iCs/>
          <w:sz w:val="20"/>
          <w:szCs w:val="20"/>
        </w:rPr>
        <w:t>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</w:t>
      </w:r>
      <w:r w:rsidR="00B27546" w:rsidRPr="00EB7523">
        <w:rPr>
          <w:i/>
          <w:iCs/>
          <w:sz w:val="20"/>
          <w:szCs w:val="20"/>
        </w:rPr>
        <w:t>Probabilistic Temporal Logic</w:t>
      </w:r>
      <w:r w:rsidR="00B27546">
        <w:rPr>
          <w:sz w:val="20"/>
          <w:szCs w:val="20"/>
        </w:rPr>
        <w:t xml:space="preserve">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>.</w:t>
      </w:r>
      <w:r w:rsidR="00B501C9">
        <w:rPr>
          <w:sz w:val="20"/>
          <w:szCs w:val="20"/>
        </w:rPr>
        <w:t xml:space="preserve"> For instance,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</w:t>
      </w:r>
      <w:r w:rsidR="00B501C9">
        <w:rPr>
          <w:sz w:val="20"/>
          <w:szCs w:val="20"/>
        </w:rPr>
        <w:t xml:space="preserve"> denotes that e</w:t>
      </w:r>
      <w:r w:rsidR="00B501C9">
        <w:rPr>
          <w:sz w:val="20"/>
          <w:szCs w:val="20"/>
        </w:rPr>
        <w:t xml:space="preserve">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B501C9"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B501C9"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 xml:space="preserve">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>steps</w:t>
      </w:r>
      <w:r w:rsidR="00B501C9">
        <w:rPr>
          <w:sz w:val="20"/>
          <w:szCs w:val="20"/>
        </w:rPr>
        <w:t>.</w:t>
      </w:r>
    </w:p>
    <w:p w14:paraId="6D9E54C3" w14:textId="570F4E38" w:rsidR="001A001A" w:rsidRPr="00474D3B" w:rsidRDefault="00B2754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B5261">
        <w:rPr>
          <w:sz w:val="20"/>
          <w:szCs w:val="20"/>
        </w:rPr>
        <w:t xml:space="preserve">Let us denote the set of all constraints imposed on even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94712">
        <w:rPr>
          <w:sz w:val="20"/>
          <w:szCs w:val="20"/>
        </w:rPr>
        <w:t xml:space="preserve"> and event instances 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494712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494712">
        <w:rPr>
          <w:sz w:val="20"/>
          <w:szCs w:val="20"/>
        </w:rPr>
        <w:t>.</w:t>
      </w:r>
    </w:p>
    <w:p w14:paraId="6B094909" w14:textId="3EEBB1EF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  <w:r w:rsidR="003B5261">
        <w:rPr>
          <w:sz w:val="20"/>
          <w:szCs w:val="20"/>
        </w:rPr>
        <w:t xml:space="preserve">a sequence of events from the specified </w:t>
      </w:r>
      <w:proofErr w:type="gramStart"/>
      <w:r w:rsidR="003B5261">
        <w:rPr>
          <w:sz w:val="20"/>
          <w:szCs w:val="20"/>
        </w:rPr>
        <w:t>type</w:t>
      </w:r>
      <w:proofErr w:type="gramEnd"/>
      <w:r w:rsidR="003B5261">
        <w:rPr>
          <w:sz w:val="20"/>
          <w:szCs w:val="20"/>
        </w:rPr>
        <w:t xml:space="preserve">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B5261">
        <w:rPr>
          <w:sz w:val="20"/>
          <w:szCs w:val="20"/>
        </w:rPr>
        <w:t xml:space="preserve"> obeying the set of constraints</w:t>
      </w:r>
      <w:r w:rsidR="001A37BA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1A37BA">
        <w:rPr>
          <w:sz w:val="20"/>
          <w:szCs w:val="20"/>
        </w:rPr>
        <w:t>.</w:t>
      </w:r>
    </w:p>
    <w:p w14:paraId="79C3D87E" w14:textId="0138A33F" w:rsidR="00B27546" w:rsidRDefault="00B27546">
      <w:pPr>
        <w:rPr>
          <w:sz w:val="20"/>
          <w:szCs w:val="20"/>
        </w:rPr>
      </w:pPr>
    </w:p>
    <w:p w14:paraId="74DB66C0" w14:textId="50E9EFF6" w:rsidR="00494712" w:rsidRDefault="00494712">
      <w:pPr>
        <w:rPr>
          <w:sz w:val="20"/>
          <w:szCs w:val="20"/>
        </w:rPr>
      </w:pPr>
      <w:r>
        <w:rPr>
          <w:sz w:val="20"/>
          <w:szCs w:val="20"/>
        </w:rPr>
        <w:t>How to do that?</w:t>
      </w:r>
    </w:p>
    <w:p w14:paraId="39A79FDC" w14:textId="6395E728" w:rsidR="00494712" w:rsidRDefault="005838D3">
      <w:pPr>
        <w:rPr>
          <w:sz w:val="20"/>
          <w:szCs w:val="20"/>
        </w:rPr>
      </w:pPr>
      <w:r>
        <w:rPr>
          <w:sz w:val="20"/>
          <w:szCs w:val="20"/>
        </w:rPr>
        <w:t xml:space="preserve">Idea: We can represent the events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by a </w:t>
      </w:r>
      <w:r w:rsidRPr="005838D3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which will be subject to the set of constraints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</w:p>
    <w:p w14:paraId="08D1CFF6" w14:textId="7423CF74" w:rsidR="00893F3A" w:rsidRDefault="00893F3A">
      <w:pPr>
        <w:rPr>
          <w:sz w:val="20"/>
          <w:szCs w:val="20"/>
        </w:rPr>
      </w:pPr>
    </w:p>
    <w:p w14:paraId="1CDA9319" w14:textId="295FDB43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Let us build an example Kripke structure for our Fulfillment Decisions Root Cause Analysis problem discussed in </w:t>
      </w:r>
      <w:sdt>
        <w:sdtPr>
          <w:rPr>
            <w:sz w:val="20"/>
            <w:szCs w:val="20"/>
          </w:rPr>
          <w:id w:val="-3396688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Pr="00893F3A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D6B6B89" w14:textId="7D094A92" w:rsidR="00893F3A" w:rsidRDefault="00893F3A">
      <w:pPr>
        <w:rPr>
          <w:sz w:val="20"/>
          <w:szCs w:val="20"/>
        </w:rPr>
      </w:pPr>
    </w:p>
    <w:p w14:paraId="687EC124" w14:textId="04CF4A83" w:rsidR="00893F3A" w:rsidRDefault="00893F3A" w:rsidP="00893F3A">
      <w:pPr>
        <w:pStyle w:val="Heading2"/>
      </w:pPr>
      <w:r>
        <w:lastRenderedPageBreak/>
        <w:t xml:space="preserve">Representing Fulfillment Event Dataset with </w:t>
      </w:r>
      <w:r w:rsidRPr="00893F3A">
        <w:rPr>
          <w:i/>
          <w:iCs/>
        </w:rPr>
        <w:t>Kripke</w:t>
      </w:r>
      <w:r>
        <w:t xml:space="preserve"> Structure</w:t>
      </w:r>
    </w:p>
    <w:p w14:paraId="1F6A3891" w14:textId="4701C40E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 Let us consider an event dataset represented by </w:t>
      </w:r>
      <w:r w:rsidRPr="00893F3A">
        <w:rPr>
          <w:i/>
          <w:iCs/>
          <w:sz w:val="20"/>
          <w:szCs w:val="20"/>
        </w:rPr>
        <w:t>timestamp-marked stream</w:t>
      </w:r>
      <w:r>
        <w:rPr>
          <w:sz w:val="20"/>
          <w:szCs w:val="20"/>
        </w:rPr>
        <w:t xml:space="preserve"> of </w:t>
      </w:r>
      <w:r w:rsidRPr="00893F3A">
        <w:rPr>
          <w:i/>
          <w:iCs/>
          <w:sz w:val="20"/>
          <w:szCs w:val="20"/>
        </w:rPr>
        <w:t>event instances</w:t>
      </w:r>
      <w:r>
        <w:rPr>
          <w:sz w:val="20"/>
          <w:szCs w:val="20"/>
        </w:rPr>
        <w:t>:</w:t>
      </w:r>
    </w:p>
    <w:p w14:paraId="29CB34DD" w14:textId="379EA88B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</w:t>
      </w:r>
    </w:p>
    <w:p w14:paraId="5CB4BAD4" w14:textId="30035186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Here each event instance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an instance of some event type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created at time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sz w:val="20"/>
          <w:szCs w:val="20"/>
        </w:rPr>
        <w:t xml:space="preserve">, for some set of arguments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j,k</m:t>
            </m:r>
          </m:sub>
        </m:sSub>
      </m:oMath>
      <w:r>
        <w:rPr>
          <w:sz w:val="20"/>
          <w:szCs w:val="20"/>
        </w:rPr>
        <w:t xml:space="preserve"> which belong to the value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of all possible argument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(see paragraph </w:t>
      </w:r>
      <w:r w:rsidRPr="00893F3A">
        <w:rPr>
          <w:i/>
          <w:iCs/>
          <w:sz w:val="20"/>
          <w:szCs w:val="20"/>
        </w:rPr>
        <w:t>Events</w:t>
      </w:r>
      <w:r>
        <w:rPr>
          <w:sz w:val="20"/>
          <w:szCs w:val="20"/>
        </w:rPr>
        <w:t xml:space="preserve"> of </w:t>
      </w:r>
      <w:sdt>
        <w:sdtPr>
          <w:rPr>
            <w:sz w:val="20"/>
            <w:szCs w:val="20"/>
          </w:rPr>
          <w:id w:val="67261327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Pr="00893F3A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for details). Here the index </w:t>
      </w:r>
      <m:oMath>
        <m:r>
          <w:rPr>
            <w:rFonts w:ascii="Cambria Math" w:hAnsi="Cambria Math"/>
            <w:sz w:val="20"/>
            <w:szCs w:val="20"/>
          </w:rPr>
          <m:t>k=1,2,..</m:t>
        </m:r>
      </m:oMath>
      <w:r>
        <w:rPr>
          <w:sz w:val="20"/>
          <w:szCs w:val="20"/>
        </w:rPr>
        <w:t xml:space="preserve"> represents the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-th appearance of the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in the timestamp-marked event stream. That is:</w:t>
      </w:r>
    </w:p>
    <w:p w14:paraId="60DBA07C" w14:textId="77777777" w:rsidR="00893F3A" w:rsidRDefault="00893F3A">
      <w:pPr>
        <w:rPr>
          <w:sz w:val="20"/>
          <w:szCs w:val="20"/>
        </w:rPr>
      </w:pPr>
    </w:p>
    <w:p w14:paraId="1B6E7EB3" w14:textId="60C7C26C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j,k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     (1)</w:t>
      </w:r>
    </w:p>
    <w:p w14:paraId="6A2605C1" w14:textId="783FB6A6" w:rsidR="00893F3A" w:rsidRDefault="00893F3A">
      <w:pPr>
        <w:rPr>
          <w:sz w:val="20"/>
          <w:szCs w:val="20"/>
        </w:rPr>
      </w:pPr>
    </w:p>
    <w:p w14:paraId="558ACDBF" w14:textId="77777777" w:rsidR="00893F3A" w:rsidRDefault="00893F3A">
      <w:pPr>
        <w:rPr>
          <w:sz w:val="20"/>
          <w:szCs w:val="20"/>
        </w:rPr>
      </w:pPr>
    </w:p>
    <w:p w14:paraId="4A8B85A1" w14:textId="77777777" w:rsidR="00893F3A" w:rsidRDefault="00893F3A">
      <w:pPr>
        <w:rPr>
          <w:sz w:val="20"/>
          <w:szCs w:val="20"/>
        </w:rPr>
      </w:pPr>
    </w:p>
    <w:p w14:paraId="6F71BBE3" w14:textId="77777777" w:rsidR="00494712" w:rsidRDefault="00494712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id w:val="177821898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4D03F34A" w14:textId="7B061FCE" w:rsidR="00893F3A" w:rsidRPr="00893F3A" w:rsidRDefault="00893F3A">
          <w:pPr>
            <w:pStyle w:val="Heading1"/>
            <w:rPr>
              <w:sz w:val="26"/>
              <w:szCs w:val="26"/>
            </w:rPr>
          </w:pPr>
          <w:r w:rsidRPr="00893F3A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5A54B051" w14:textId="77777777" w:rsidR="00893F3A" w:rsidRPr="00893F3A" w:rsidRDefault="00893F3A" w:rsidP="00893F3A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893F3A">
                <w:rPr>
                  <w:sz w:val="20"/>
                  <w:szCs w:val="20"/>
                </w:rPr>
                <w:fldChar w:fldCharType="begin"/>
              </w:r>
              <w:r w:rsidRPr="00893F3A">
                <w:rPr>
                  <w:sz w:val="20"/>
                  <w:szCs w:val="20"/>
                </w:rPr>
                <w:instrText xml:space="preserve"> BIBLIOGRAPHY </w:instrText>
              </w:r>
              <w:r w:rsidRPr="00893F3A">
                <w:rPr>
                  <w:sz w:val="20"/>
                  <w:szCs w:val="20"/>
                </w:rPr>
                <w:fldChar w:fldCharType="separate"/>
              </w:r>
              <w:r w:rsidRPr="00893F3A">
                <w:rPr>
                  <w:noProof/>
                  <w:sz w:val="20"/>
                  <w:szCs w:val="20"/>
                </w:rPr>
                <w:t xml:space="preserve">Gueorguiev, D. (2023). </w:t>
              </w:r>
              <w:r w:rsidRPr="00893F3A">
                <w:rPr>
                  <w:i/>
                  <w:iCs/>
                  <w:noProof/>
                  <w:sz w:val="20"/>
                  <w:szCs w:val="20"/>
                </w:rPr>
                <w:t>Root Cause Analysis For Fulfillment Decisions.</w:t>
              </w:r>
              <w:r w:rsidRPr="00893F3A">
                <w:rPr>
                  <w:noProof/>
                  <w:sz w:val="20"/>
                  <w:szCs w:val="20"/>
                </w:rPr>
                <w:t xml:space="preserve"> Boston, MA.</w:t>
              </w:r>
            </w:p>
            <w:p w14:paraId="2B9941B0" w14:textId="6AD69EFE" w:rsidR="00893F3A" w:rsidRPr="00893F3A" w:rsidRDefault="00893F3A" w:rsidP="00893F3A">
              <w:pPr>
                <w:rPr>
                  <w:sz w:val="20"/>
                  <w:szCs w:val="20"/>
                </w:rPr>
              </w:pPr>
              <w:r w:rsidRPr="00893F3A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5014C8C7" w14:textId="0CC5516E" w:rsidR="00B27546" w:rsidRDefault="00893F3A">
      <w:pPr>
        <w:rPr>
          <w:sz w:val="20"/>
          <w:szCs w:val="20"/>
        </w:rPr>
      </w:pPr>
      <w:r>
        <w:rPr>
          <w:sz w:val="20"/>
          <w:szCs w:val="20"/>
        </w:rPr>
        <w:t>The report “</w:t>
      </w:r>
      <w:r w:rsidRPr="00893F3A">
        <w:rPr>
          <w:i/>
          <w:iCs/>
          <w:sz w:val="20"/>
          <w:szCs w:val="20"/>
        </w:rPr>
        <w:t>Root Cause Analysis For Fulfillment Decisions</w:t>
      </w:r>
      <w:r>
        <w:rPr>
          <w:sz w:val="20"/>
          <w:szCs w:val="20"/>
        </w:rPr>
        <w:t xml:space="preserve">” can be found </w:t>
      </w:r>
      <w:hyperlink r:id="rId7" w:history="1">
        <w:r w:rsidRPr="00893F3A">
          <w:rPr>
            <w:rStyle w:val="Hyperlink"/>
            <w:sz w:val="20"/>
            <w:szCs w:val="20"/>
          </w:rPr>
          <w:t>here</w:t>
        </w:r>
      </w:hyperlink>
      <w:r>
        <w:rPr>
          <w:sz w:val="20"/>
          <w:szCs w:val="20"/>
        </w:rPr>
        <w:t>.</w:t>
      </w:r>
    </w:p>
    <w:p w14:paraId="75B3DEC5" w14:textId="77777777" w:rsidR="00893F3A" w:rsidRDefault="00893F3A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8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1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4C478807" w14:textId="6A447A93" w:rsidR="00B27546" w:rsidRDefault="00B27546">
      <w:pPr>
        <w:rPr>
          <w:sz w:val="20"/>
          <w:szCs w:val="20"/>
        </w:rPr>
      </w:pPr>
    </w:p>
    <w:p w14:paraId="0D53FE03" w14:textId="77777777" w:rsidR="00494712" w:rsidRDefault="00494712">
      <w:pPr>
        <w:rPr>
          <w:sz w:val="20"/>
          <w:szCs w:val="20"/>
        </w:rPr>
      </w:pPr>
    </w:p>
    <w:p w14:paraId="0E51EA9C" w14:textId="2782D6A6" w:rsidR="00494712" w:rsidRDefault="00494712">
      <w:pPr>
        <w:rPr>
          <w:sz w:val="20"/>
          <w:szCs w:val="20"/>
        </w:rPr>
      </w:pPr>
      <w:r w:rsidRPr="00494712">
        <w:rPr>
          <w:rStyle w:val="Heading3Char"/>
        </w:rPr>
        <w:t>Examples of PTL expressions</w:t>
      </w:r>
    </w:p>
    <w:p w14:paraId="2A98DA61" w14:textId="5E526E4D" w:rsidR="00B27546" w:rsidRPr="00B30E68" w:rsidRDefault="00494712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 denotes that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time 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time steps.</w:t>
      </w: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FD9CA" w14:textId="77777777" w:rsidR="002D0A02" w:rsidRDefault="002D0A02" w:rsidP="009B7A2E">
      <w:r>
        <w:separator/>
      </w:r>
    </w:p>
  </w:endnote>
  <w:endnote w:type="continuationSeparator" w:id="0">
    <w:p w14:paraId="37005140" w14:textId="77777777" w:rsidR="002D0A02" w:rsidRDefault="002D0A02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5DB4B" w14:textId="77777777" w:rsidR="002D0A02" w:rsidRDefault="002D0A02" w:rsidP="009B7A2E">
      <w:r>
        <w:separator/>
      </w:r>
    </w:p>
  </w:footnote>
  <w:footnote w:type="continuationSeparator" w:id="0">
    <w:p w14:paraId="6029603A" w14:textId="77777777" w:rsidR="002D0A02" w:rsidRDefault="002D0A02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968B5"/>
    <w:rsid w:val="00105FDE"/>
    <w:rsid w:val="001637CA"/>
    <w:rsid w:val="001A001A"/>
    <w:rsid w:val="001A37BA"/>
    <w:rsid w:val="001E0601"/>
    <w:rsid w:val="001E50B3"/>
    <w:rsid w:val="001E5551"/>
    <w:rsid w:val="00231C78"/>
    <w:rsid w:val="002D0A02"/>
    <w:rsid w:val="002F263D"/>
    <w:rsid w:val="00357265"/>
    <w:rsid w:val="00362478"/>
    <w:rsid w:val="003B5261"/>
    <w:rsid w:val="003B7126"/>
    <w:rsid w:val="00473C11"/>
    <w:rsid w:val="00474D3B"/>
    <w:rsid w:val="00494712"/>
    <w:rsid w:val="004B2A68"/>
    <w:rsid w:val="005838D3"/>
    <w:rsid w:val="005921EE"/>
    <w:rsid w:val="005C6EA8"/>
    <w:rsid w:val="007018B4"/>
    <w:rsid w:val="007C6223"/>
    <w:rsid w:val="0088460A"/>
    <w:rsid w:val="00893F3A"/>
    <w:rsid w:val="00894C17"/>
    <w:rsid w:val="00933C50"/>
    <w:rsid w:val="00956078"/>
    <w:rsid w:val="009B7A2E"/>
    <w:rsid w:val="00AB01BA"/>
    <w:rsid w:val="00AE3601"/>
    <w:rsid w:val="00B17612"/>
    <w:rsid w:val="00B27546"/>
    <w:rsid w:val="00B30E68"/>
    <w:rsid w:val="00B501C9"/>
    <w:rsid w:val="00C226A1"/>
    <w:rsid w:val="00CC35C1"/>
    <w:rsid w:val="00CD7B7F"/>
    <w:rsid w:val="00CF6028"/>
    <w:rsid w:val="00DA7BC2"/>
    <w:rsid w:val="00DE03EB"/>
    <w:rsid w:val="00E12A23"/>
    <w:rsid w:val="00E30559"/>
    <w:rsid w:val="00EB7523"/>
    <w:rsid w:val="00F76B77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7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47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893F3A"/>
  </w:style>
  <w:style w:type="character" w:styleId="UnresolvedMention">
    <w:name w:val="Unresolved Mention"/>
    <w:basedOn w:val="DefaultParagraphFont"/>
    <w:uiPriority w:val="99"/>
    <w:semiHidden/>
    <w:unhideWhenUsed/>
    <w:rsid w:val="00893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docs/RootCauseAnalysisforFulfillmentSplittingDecisions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Dim23</b:Tag>
    <b:SourceType>Report</b:SourceType>
    <b:Guid>{E7FC4807-84A0-0341-9E0B-BF5BE0958CE2}</b:Guid>
    <b:Author>
      <b:Author>
        <b:NameList>
          <b:Person>
            <b:Last>Gueorguiev</b:Last>
            <b:First>Dimitar</b:First>
          </b:Person>
        </b:NameList>
      </b:Author>
    </b:Author>
    <b:Title>Root Cause Analysis For Fulfillment Decisions</b:Title>
    <b:City>Boston, MA</b:City>
    <b:Year>2023</b:Year>
    <b:RefOrder>1</b:RefOrder>
  </b:Source>
</b:Sources>
</file>

<file path=customXml/itemProps1.xml><?xml version="1.0" encoding="utf-8"?>
<ds:datastoreItem xmlns:ds="http://schemas.openxmlformats.org/officeDocument/2006/customXml" ds:itemID="{F3F7FE24-957C-3C48-9432-4F756186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2023-07-24T19:25:00Z</dcterms:created>
  <dcterms:modified xsi:type="dcterms:W3CDTF">2023-08-06T18:32:00Z</dcterms:modified>
</cp:coreProperties>
</file>