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w:t>
      </w:r>
      <w:r>
        <w:rPr>
          <w:sz w:val="20"/>
          <w:szCs w:val="20"/>
        </w:rPr>
        <w:lastRenderedPageBreak/>
        <w:t>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w:t>
      </w:r>
      <w:r w:rsidR="0077396F">
        <w:rPr>
          <w:rFonts w:eastAsiaTheme="minorEastAsia"/>
          <w:i/>
          <w:iCs/>
          <w:sz w:val="20"/>
          <w:szCs w:val="20"/>
        </w:rPr>
        <w:lastRenderedPageBreak/>
        <w:t xml:space="preserve">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w:t>
      </w:r>
      <w:proofErr w:type="gramStart"/>
      <w:r w:rsidR="000527D8">
        <w:rPr>
          <w:rFonts w:eastAsiaTheme="minorEastAsia"/>
          <w:sz w:val="20"/>
          <w:szCs w:val="20"/>
        </w:rPr>
        <w:t xml:space="preserve">by </w:t>
      </w:r>
      <w:r w:rsidR="000527D8" w:rsidRPr="000527D8">
        <w:rPr>
          <w:rFonts w:eastAsiaTheme="minorEastAsia"/>
          <w:b/>
          <w:bCs/>
          <w:sz w:val="20"/>
          <w:szCs w:val="20"/>
        </w:rPr>
        <w:t>Definition A8</w:t>
      </w:r>
      <w:proofErr w:type="gramEnd"/>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182078A0" w14:textId="78266571" w:rsidR="00EA4715" w:rsidRPr="00EA471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p>
    <w:p w14:paraId="4E503463" w14:textId="77777777" w:rsidR="004B0FF8" w:rsidRDefault="004B0FF8" w:rsidP="008756AF">
      <w:pPr>
        <w:rPr>
          <w:rFonts w:eastAsiaTheme="minorEastAsia"/>
          <w:sz w:val="20"/>
          <w:szCs w:val="20"/>
        </w:rPr>
      </w:pPr>
    </w:p>
    <w:p w14:paraId="26DA9B00" w14:textId="77777777" w:rsidR="004B0FF8" w:rsidRDefault="004B0FF8" w:rsidP="008756AF">
      <w:pPr>
        <w:rPr>
          <w:rFonts w:eastAsiaTheme="minorEastAsia"/>
          <w:sz w:val="20"/>
          <w:szCs w:val="20"/>
        </w:rPr>
      </w:pPr>
    </w:p>
    <w:p w14:paraId="5F97410A" w14:textId="37E8BE17"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B1A5EC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6738" w14:textId="77777777" w:rsidR="0003239F" w:rsidRDefault="0003239F" w:rsidP="00812671">
      <w:r>
        <w:separator/>
      </w:r>
    </w:p>
  </w:endnote>
  <w:endnote w:type="continuationSeparator" w:id="0">
    <w:p w14:paraId="14D495DA" w14:textId="77777777" w:rsidR="0003239F" w:rsidRDefault="0003239F"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B8D" w14:textId="77777777" w:rsidR="0003239F" w:rsidRDefault="0003239F" w:rsidP="00812671">
      <w:r>
        <w:separator/>
      </w:r>
    </w:p>
  </w:footnote>
  <w:footnote w:type="continuationSeparator" w:id="0">
    <w:p w14:paraId="7B364DC0" w14:textId="77777777" w:rsidR="0003239F" w:rsidRDefault="0003239F"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9"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1"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0"/>
  </w:num>
  <w:num w:numId="2" w16cid:durableId="731194100">
    <w:abstractNumId w:val="13"/>
  </w:num>
  <w:num w:numId="3" w16cid:durableId="808665668">
    <w:abstractNumId w:val="6"/>
  </w:num>
  <w:num w:numId="4" w16cid:durableId="413432241">
    <w:abstractNumId w:val="18"/>
  </w:num>
  <w:num w:numId="5" w16cid:durableId="817527392">
    <w:abstractNumId w:val="8"/>
  </w:num>
  <w:num w:numId="6" w16cid:durableId="1269192642">
    <w:abstractNumId w:val="1"/>
  </w:num>
  <w:num w:numId="7" w16cid:durableId="1063139277">
    <w:abstractNumId w:val="22"/>
  </w:num>
  <w:num w:numId="8" w16cid:durableId="1693455287">
    <w:abstractNumId w:val="10"/>
  </w:num>
  <w:num w:numId="9" w16cid:durableId="1545869366">
    <w:abstractNumId w:val="19"/>
  </w:num>
  <w:num w:numId="10" w16cid:durableId="1252199255">
    <w:abstractNumId w:val="21"/>
  </w:num>
  <w:num w:numId="11" w16cid:durableId="794905369">
    <w:abstractNumId w:val="0"/>
  </w:num>
  <w:num w:numId="12" w16cid:durableId="549925578">
    <w:abstractNumId w:val="17"/>
  </w:num>
  <w:num w:numId="13" w16cid:durableId="66266586">
    <w:abstractNumId w:val="5"/>
  </w:num>
  <w:num w:numId="14" w16cid:durableId="1718432391">
    <w:abstractNumId w:val="11"/>
  </w:num>
  <w:num w:numId="15" w16cid:durableId="1085414706">
    <w:abstractNumId w:val="9"/>
  </w:num>
  <w:num w:numId="16" w16cid:durableId="328942264">
    <w:abstractNumId w:val="3"/>
  </w:num>
  <w:num w:numId="17" w16cid:durableId="1588339835">
    <w:abstractNumId w:val="16"/>
  </w:num>
  <w:num w:numId="18" w16cid:durableId="1859192263">
    <w:abstractNumId w:val="2"/>
  </w:num>
  <w:num w:numId="19" w16cid:durableId="1921330123">
    <w:abstractNumId w:val="7"/>
  </w:num>
  <w:num w:numId="20" w16cid:durableId="1969357559">
    <w:abstractNumId w:val="14"/>
  </w:num>
  <w:num w:numId="21" w16cid:durableId="340662111">
    <w:abstractNumId w:val="24"/>
  </w:num>
  <w:num w:numId="22" w16cid:durableId="68383607">
    <w:abstractNumId w:val="12"/>
  </w:num>
  <w:num w:numId="23" w16cid:durableId="1591767771">
    <w:abstractNumId w:val="23"/>
  </w:num>
  <w:num w:numId="24" w16cid:durableId="131145469">
    <w:abstractNumId w:val="4"/>
  </w:num>
  <w:num w:numId="25" w16cid:durableId="7748360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239F"/>
    <w:rsid w:val="000354AD"/>
    <w:rsid w:val="00042C97"/>
    <w:rsid w:val="00046999"/>
    <w:rsid w:val="000527D8"/>
    <w:rsid w:val="000538F7"/>
    <w:rsid w:val="000572D4"/>
    <w:rsid w:val="0006191D"/>
    <w:rsid w:val="00067E08"/>
    <w:rsid w:val="00071178"/>
    <w:rsid w:val="000733F3"/>
    <w:rsid w:val="00073E52"/>
    <w:rsid w:val="000953A9"/>
    <w:rsid w:val="00096126"/>
    <w:rsid w:val="000A1292"/>
    <w:rsid w:val="000B08F3"/>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A59D4"/>
    <w:rsid w:val="001A791C"/>
    <w:rsid w:val="001B1254"/>
    <w:rsid w:val="001B2F67"/>
    <w:rsid w:val="001B7F98"/>
    <w:rsid w:val="001C1EF6"/>
    <w:rsid w:val="001C7358"/>
    <w:rsid w:val="001D25F1"/>
    <w:rsid w:val="001D29F5"/>
    <w:rsid w:val="001E5884"/>
    <w:rsid w:val="001F2665"/>
    <w:rsid w:val="00221F0A"/>
    <w:rsid w:val="002356A9"/>
    <w:rsid w:val="002365A3"/>
    <w:rsid w:val="0024003D"/>
    <w:rsid w:val="00240983"/>
    <w:rsid w:val="00242E25"/>
    <w:rsid w:val="002431EE"/>
    <w:rsid w:val="002510CC"/>
    <w:rsid w:val="00251433"/>
    <w:rsid w:val="00255155"/>
    <w:rsid w:val="00255178"/>
    <w:rsid w:val="00255740"/>
    <w:rsid w:val="002607AC"/>
    <w:rsid w:val="002610F4"/>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76454"/>
    <w:rsid w:val="00376994"/>
    <w:rsid w:val="00380883"/>
    <w:rsid w:val="00382304"/>
    <w:rsid w:val="00385E08"/>
    <w:rsid w:val="003863E5"/>
    <w:rsid w:val="003908F8"/>
    <w:rsid w:val="003A7458"/>
    <w:rsid w:val="003B0290"/>
    <w:rsid w:val="003B0E81"/>
    <w:rsid w:val="003C14F3"/>
    <w:rsid w:val="003C238C"/>
    <w:rsid w:val="003C4066"/>
    <w:rsid w:val="003D0292"/>
    <w:rsid w:val="003F1903"/>
    <w:rsid w:val="003F4B1C"/>
    <w:rsid w:val="00412231"/>
    <w:rsid w:val="00415038"/>
    <w:rsid w:val="004159E0"/>
    <w:rsid w:val="00430C2B"/>
    <w:rsid w:val="004339A6"/>
    <w:rsid w:val="00457726"/>
    <w:rsid w:val="00470893"/>
    <w:rsid w:val="00482221"/>
    <w:rsid w:val="004830CD"/>
    <w:rsid w:val="00491A0F"/>
    <w:rsid w:val="00492765"/>
    <w:rsid w:val="004A0C0D"/>
    <w:rsid w:val="004A502D"/>
    <w:rsid w:val="004A50EF"/>
    <w:rsid w:val="004B086B"/>
    <w:rsid w:val="004B0C26"/>
    <w:rsid w:val="004B0FF8"/>
    <w:rsid w:val="004C3C6E"/>
    <w:rsid w:val="004C5663"/>
    <w:rsid w:val="004C6CB2"/>
    <w:rsid w:val="004D1294"/>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255"/>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A35B4"/>
    <w:rsid w:val="007B04E0"/>
    <w:rsid w:val="007B2A6C"/>
    <w:rsid w:val="007B7154"/>
    <w:rsid w:val="007C34D2"/>
    <w:rsid w:val="007D0B0C"/>
    <w:rsid w:val="007D3345"/>
    <w:rsid w:val="007D3F2B"/>
    <w:rsid w:val="007D5657"/>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132B7"/>
    <w:rsid w:val="00924197"/>
    <w:rsid w:val="00926C4E"/>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E1CE2"/>
    <w:rsid w:val="009F0910"/>
    <w:rsid w:val="009F6127"/>
    <w:rsid w:val="00A00D13"/>
    <w:rsid w:val="00A05B6A"/>
    <w:rsid w:val="00A13DA9"/>
    <w:rsid w:val="00A3309D"/>
    <w:rsid w:val="00A35137"/>
    <w:rsid w:val="00A40A6D"/>
    <w:rsid w:val="00A41CB0"/>
    <w:rsid w:val="00A42DB8"/>
    <w:rsid w:val="00A443FE"/>
    <w:rsid w:val="00A52C62"/>
    <w:rsid w:val="00A6083D"/>
    <w:rsid w:val="00A758E9"/>
    <w:rsid w:val="00A77647"/>
    <w:rsid w:val="00A81513"/>
    <w:rsid w:val="00A82DC4"/>
    <w:rsid w:val="00A8737F"/>
    <w:rsid w:val="00AA0192"/>
    <w:rsid w:val="00AA0E11"/>
    <w:rsid w:val="00AA53FD"/>
    <w:rsid w:val="00AA59C7"/>
    <w:rsid w:val="00AA699F"/>
    <w:rsid w:val="00AA6A20"/>
    <w:rsid w:val="00AA76AF"/>
    <w:rsid w:val="00AB0DC0"/>
    <w:rsid w:val="00AC15C1"/>
    <w:rsid w:val="00B02A51"/>
    <w:rsid w:val="00B02CDC"/>
    <w:rsid w:val="00B07978"/>
    <w:rsid w:val="00B14D34"/>
    <w:rsid w:val="00B252E5"/>
    <w:rsid w:val="00B27E54"/>
    <w:rsid w:val="00B30F90"/>
    <w:rsid w:val="00B323B3"/>
    <w:rsid w:val="00B33877"/>
    <w:rsid w:val="00B362A5"/>
    <w:rsid w:val="00B42BC2"/>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CDF"/>
    <w:rsid w:val="00C47B81"/>
    <w:rsid w:val="00C535B3"/>
    <w:rsid w:val="00C537DB"/>
    <w:rsid w:val="00C55C9B"/>
    <w:rsid w:val="00C60212"/>
    <w:rsid w:val="00C65BF4"/>
    <w:rsid w:val="00C71057"/>
    <w:rsid w:val="00C80EC2"/>
    <w:rsid w:val="00C81309"/>
    <w:rsid w:val="00C833EF"/>
    <w:rsid w:val="00C84703"/>
    <w:rsid w:val="00C91702"/>
    <w:rsid w:val="00C93DF5"/>
    <w:rsid w:val="00C96197"/>
    <w:rsid w:val="00CA1A6C"/>
    <w:rsid w:val="00CA2092"/>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D1292F"/>
    <w:rsid w:val="00D137D1"/>
    <w:rsid w:val="00D14823"/>
    <w:rsid w:val="00D158AF"/>
    <w:rsid w:val="00D22199"/>
    <w:rsid w:val="00D23AB0"/>
    <w:rsid w:val="00D368C9"/>
    <w:rsid w:val="00D3720D"/>
    <w:rsid w:val="00D41921"/>
    <w:rsid w:val="00D43AAF"/>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2FDF"/>
    <w:rsid w:val="00E21AF7"/>
    <w:rsid w:val="00E25390"/>
    <w:rsid w:val="00E26D73"/>
    <w:rsid w:val="00E32E98"/>
    <w:rsid w:val="00E420B2"/>
    <w:rsid w:val="00E43D66"/>
    <w:rsid w:val="00E45669"/>
    <w:rsid w:val="00E46092"/>
    <w:rsid w:val="00E47410"/>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C454F"/>
    <w:rsid w:val="00ED00DD"/>
    <w:rsid w:val="00EE2968"/>
    <w:rsid w:val="00EE4930"/>
    <w:rsid w:val="00EF654C"/>
    <w:rsid w:val="00EF7873"/>
    <w:rsid w:val="00F00AD8"/>
    <w:rsid w:val="00F030E9"/>
    <w:rsid w:val="00F05233"/>
    <w:rsid w:val="00F14E83"/>
    <w:rsid w:val="00F258C4"/>
    <w:rsid w:val="00F44587"/>
    <w:rsid w:val="00F51C08"/>
    <w:rsid w:val="00F556EF"/>
    <w:rsid w:val="00F65BA7"/>
    <w:rsid w:val="00F6601D"/>
    <w:rsid w:val="00F768F4"/>
    <w:rsid w:val="00F85659"/>
    <w:rsid w:val="00F96861"/>
    <w:rsid w:val="00F97EE7"/>
    <w:rsid w:val="00FA1795"/>
    <w:rsid w:val="00FA454F"/>
    <w:rsid w:val="00FB0650"/>
    <w:rsid w:val="00FB1DB7"/>
    <w:rsid w:val="00FB243E"/>
    <w:rsid w:val="00FD0A62"/>
    <w:rsid w:val="00FD2797"/>
    <w:rsid w:val="00FD7A51"/>
    <w:rsid w:val="00FE434E"/>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26</Pages>
  <Words>12044</Words>
  <Characters>68656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39</cp:revision>
  <cp:lastPrinted>2023-08-30T08:58:00Z</cp:lastPrinted>
  <dcterms:created xsi:type="dcterms:W3CDTF">2023-08-30T08:58:00Z</dcterms:created>
  <dcterms:modified xsi:type="dcterms:W3CDTF">2023-09-03T17:35:00Z</dcterms:modified>
</cp:coreProperties>
</file>