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471C7955"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8E13FD">
              <w:rPr>
                <w:noProof/>
                <w:webHidden/>
              </w:rPr>
              <w:t>1</w:t>
            </w:r>
            <w:r w:rsidR="00D14823">
              <w:rPr>
                <w:noProof/>
                <w:webHidden/>
              </w:rPr>
              <w:fldChar w:fldCharType="end"/>
            </w:r>
          </w:hyperlink>
        </w:p>
        <w:p w14:paraId="611F4BC4" w14:textId="61338249"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sidR="008E13FD">
              <w:rPr>
                <w:noProof/>
                <w:webHidden/>
              </w:rPr>
              <w:t>1</w:t>
            </w:r>
            <w:r>
              <w:rPr>
                <w:noProof/>
                <w:webHidden/>
              </w:rPr>
              <w:fldChar w:fldCharType="end"/>
            </w:r>
          </w:hyperlink>
        </w:p>
        <w:p w14:paraId="08AA963E" w14:textId="51682C1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sidR="008E13FD">
              <w:rPr>
                <w:noProof/>
                <w:webHidden/>
              </w:rPr>
              <w:t>1</w:t>
            </w:r>
            <w:r>
              <w:rPr>
                <w:noProof/>
                <w:webHidden/>
              </w:rPr>
              <w:fldChar w:fldCharType="end"/>
            </w:r>
          </w:hyperlink>
        </w:p>
        <w:p w14:paraId="13527B8D" w14:textId="2DC6661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sidR="008E13FD">
              <w:rPr>
                <w:noProof/>
                <w:webHidden/>
              </w:rPr>
              <w:t>3</w:t>
            </w:r>
            <w:r>
              <w:rPr>
                <w:noProof/>
                <w:webHidden/>
              </w:rPr>
              <w:fldChar w:fldCharType="end"/>
            </w:r>
          </w:hyperlink>
        </w:p>
        <w:p w14:paraId="5E5A9E72" w14:textId="345D9107"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sidR="008E13FD">
              <w:rPr>
                <w:noProof/>
                <w:webHidden/>
              </w:rPr>
              <w:t>3</w:t>
            </w:r>
            <w:r>
              <w:rPr>
                <w:noProof/>
                <w:webHidden/>
              </w:rPr>
              <w:fldChar w:fldCharType="end"/>
            </w:r>
          </w:hyperlink>
        </w:p>
        <w:p w14:paraId="557D6D87" w14:textId="5BD3762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sidR="008E13FD">
              <w:rPr>
                <w:noProof/>
                <w:webHidden/>
              </w:rPr>
              <w:t>4</w:t>
            </w:r>
            <w:r>
              <w:rPr>
                <w:noProof/>
                <w:webHidden/>
              </w:rPr>
              <w:fldChar w:fldCharType="end"/>
            </w:r>
          </w:hyperlink>
        </w:p>
        <w:p w14:paraId="47DFC662" w14:textId="271C7489"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sidR="008E13FD">
              <w:rPr>
                <w:noProof/>
                <w:webHidden/>
              </w:rPr>
              <w:t>6</w:t>
            </w:r>
            <w:r>
              <w:rPr>
                <w:noProof/>
                <w:webHidden/>
              </w:rPr>
              <w:fldChar w:fldCharType="end"/>
            </w:r>
          </w:hyperlink>
        </w:p>
        <w:p w14:paraId="6ECA7E7B" w14:textId="292A96F2"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sidR="008E13FD">
              <w:rPr>
                <w:noProof/>
                <w:webHidden/>
              </w:rPr>
              <w:t>10</w:t>
            </w:r>
            <w:r>
              <w:rPr>
                <w:noProof/>
                <w:webHidden/>
              </w:rPr>
              <w:fldChar w:fldCharType="end"/>
            </w:r>
          </w:hyperlink>
        </w:p>
        <w:p w14:paraId="69632F90" w14:textId="729FB6B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sidR="008E13FD">
              <w:rPr>
                <w:noProof/>
                <w:webHidden/>
              </w:rPr>
              <w:t>12</w:t>
            </w:r>
            <w:r>
              <w:rPr>
                <w:noProof/>
                <w:webHidden/>
              </w:rPr>
              <w:fldChar w:fldCharType="end"/>
            </w:r>
          </w:hyperlink>
        </w:p>
        <w:p w14:paraId="1D24A352" w14:textId="4F9EEE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sidR="008E13FD">
              <w:rPr>
                <w:noProof/>
                <w:webHidden/>
              </w:rPr>
              <w:t>12</w:t>
            </w:r>
            <w:r>
              <w:rPr>
                <w:noProof/>
                <w:webHidden/>
              </w:rPr>
              <w:fldChar w:fldCharType="end"/>
            </w:r>
          </w:hyperlink>
        </w:p>
        <w:p w14:paraId="219A4BDF" w14:textId="1C25A2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sidR="008E13FD">
              <w:rPr>
                <w:noProof/>
                <w:webHidden/>
              </w:rPr>
              <w:t>12</w:t>
            </w:r>
            <w:r>
              <w:rPr>
                <w:noProof/>
                <w:webHidden/>
              </w:rPr>
              <w:fldChar w:fldCharType="end"/>
            </w:r>
          </w:hyperlink>
        </w:p>
        <w:p w14:paraId="375D5DA3" w14:textId="6E93D05C"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sidR="008E13FD">
              <w:rPr>
                <w:noProof/>
                <w:webHidden/>
              </w:rPr>
              <w:t>13</w:t>
            </w:r>
            <w:r>
              <w:rPr>
                <w:noProof/>
                <w:webHidden/>
              </w:rPr>
              <w:fldChar w:fldCharType="end"/>
            </w:r>
          </w:hyperlink>
        </w:p>
        <w:p w14:paraId="13DE15D4" w14:textId="0DF2BC4B"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sidR="008E13FD">
              <w:rPr>
                <w:noProof/>
                <w:webHidden/>
              </w:rPr>
              <w:t>13</w:t>
            </w:r>
            <w:r>
              <w:rPr>
                <w:noProof/>
                <w:webHidden/>
              </w:rPr>
              <w:fldChar w:fldCharType="end"/>
            </w:r>
          </w:hyperlink>
        </w:p>
        <w:p w14:paraId="49F810CD" w14:textId="6C88FAA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sidR="008E13FD">
              <w:rPr>
                <w:noProof/>
                <w:webHidden/>
              </w:rPr>
              <w:t>14</w:t>
            </w:r>
            <w:r>
              <w:rPr>
                <w:noProof/>
                <w:webHidden/>
              </w:rPr>
              <w:fldChar w:fldCharType="end"/>
            </w:r>
          </w:hyperlink>
        </w:p>
        <w:p w14:paraId="4CA95772" w14:textId="535ADD55"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sidR="008E13FD">
              <w:rPr>
                <w:noProof/>
                <w:webHidden/>
              </w:rPr>
              <w:t>17</w:t>
            </w:r>
            <w:r>
              <w:rPr>
                <w:noProof/>
                <w:webHidden/>
              </w:rPr>
              <w:fldChar w:fldCharType="end"/>
            </w:r>
          </w:hyperlink>
        </w:p>
        <w:p w14:paraId="178C9B7D" w14:textId="2BEA73FD"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sidR="008E13FD">
              <w:rPr>
                <w:noProof/>
                <w:webHidden/>
              </w:rPr>
              <w:t>21</w:t>
            </w:r>
            <w:r>
              <w:rPr>
                <w:noProof/>
                <w:webHidden/>
              </w:rPr>
              <w:fldChar w:fldCharType="end"/>
            </w:r>
          </w:hyperlink>
        </w:p>
        <w:p w14:paraId="0835D38B" w14:textId="6331A8CF"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sidR="008E13FD">
              <w:rPr>
                <w:noProof/>
                <w:webHidden/>
              </w:rPr>
              <w:t>21</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08A54A0D"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13A40E63"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8E13FD"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56F4194"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8E13FD">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8738930"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8E13FD"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4C2EF470"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4CCAAAE9"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799C8D04"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8E13FD"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D20E72A"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8E13FD"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5EF975F3"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5221B35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510666D"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8E13FD"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r>
        <w:t>Examples</w:t>
      </w:r>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w:t>
      </w:r>
      <w:r>
        <w:rPr>
          <w:sz w:val="20"/>
          <w:szCs w:val="20"/>
        </w:rPr>
        <w:lastRenderedPageBreak/>
        <w:t>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w:t>
      </w:r>
      <w:r w:rsidR="0077396F">
        <w:rPr>
          <w:rFonts w:eastAsiaTheme="minorEastAsia"/>
          <w:i/>
          <w:iCs/>
          <w:sz w:val="20"/>
          <w:szCs w:val="20"/>
        </w:rPr>
        <w:lastRenderedPageBreak/>
        <w:t xml:space="preserve">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37E8BE17"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08A0BAA6"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4B1A5EC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D2FE595"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4A2CDF00"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Pr>
          <w:rFonts w:eastAsiaTheme="minorEastAsia"/>
          <w:iCs/>
          <w:sz w:val="20"/>
          <w:szCs w:val="20"/>
        </w:rPr>
        <w:t>for s in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if not marked(s):</w:t>
      </w:r>
    </w:p>
    <w:p w14:paraId="1D9E37C9" w14:textId="4BBA8BF9" w:rsidR="001A791C" w:rsidRDefault="001A791C" w:rsidP="004339A6">
      <w:pPr>
        <w:keepNext/>
        <w:keepLines/>
        <w:rPr>
          <w:rFonts w:eastAsiaTheme="minorEastAsia"/>
          <w:iCs/>
          <w:sz w:val="20"/>
          <w:szCs w:val="20"/>
        </w:rPr>
      </w:pPr>
      <w:r>
        <w:rPr>
          <w:rFonts w:eastAsiaTheme="minorEastAsia"/>
          <w:iCs/>
          <w:sz w:val="20"/>
          <w:szCs w:val="20"/>
        </w:rPr>
        <w:t xml:space="preserve">             au(</w:t>
      </w:r>
      <w:proofErr w:type="spellStart"/>
      <w:proofErr w:type="gramStart"/>
      <w:r>
        <w:rPr>
          <w:rFonts w:eastAsiaTheme="minorEastAsia"/>
          <w:iCs/>
          <w:sz w:val="20"/>
          <w:szCs w:val="20"/>
        </w:rPr>
        <w:t>f,s</w:t>
      </w:r>
      <w:proofErr w:type="gramEnd"/>
      <w:r>
        <w:rPr>
          <w:rFonts w:eastAsiaTheme="minorEastAsia"/>
          <w:iCs/>
          <w:sz w:val="20"/>
          <w:szCs w:val="20"/>
        </w:rPr>
        <w:t>,b</w:t>
      </w:r>
      <w:proofErr w:type="spellEnd"/>
      <w:r>
        <w:rPr>
          <w:rFonts w:eastAsiaTheme="minorEastAsia"/>
          <w:iCs/>
          <w:sz w:val="20"/>
          <w:szCs w:val="20"/>
        </w:rPr>
        <w:t>)</w:t>
      </w:r>
    </w:p>
    <w:p w14:paraId="4E98A759" w14:textId="5158DDA5" w:rsidR="005D5D7C" w:rsidRDefault="005D5D7C" w:rsidP="004339A6">
      <w:pPr>
        <w:keepNext/>
        <w:keepLines/>
        <w:rPr>
          <w:rFonts w:eastAsiaTheme="minorEastAsia"/>
          <w:iCs/>
          <w:sz w:val="20"/>
          <w:szCs w:val="20"/>
        </w:rPr>
      </w:pPr>
    </w:p>
    <w:p w14:paraId="593BD463" w14:textId="0C52F8F3" w:rsidR="005D5D7C" w:rsidRPr="001A791C" w:rsidRDefault="005D5D7C" w:rsidP="004339A6">
      <w:pPr>
        <w:keepNext/>
        <w:keepLines/>
        <w:rPr>
          <w:rFonts w:eastAsiaTheme="minorEastAsia"/>
          <w:iCs/>
          <w:sz w:val="20"/>
          <w:szCs w:val="20"/>
        </w:rPr>
      </w:pPr>
      <w:r>
        <w:rPr>
          <w:rFonts w:eastAsiaTheme="minorEastAsia"/>
          <w:iCs/>
          <w:sz w:val="20"/>
          <w:szCs w:val="20"/>
        </w:rPr>
        <w:t>def au(</w:t>
      </w:r>
      <w:proofErr w:type="spellStart"/>
      <w:proofErr w:type="gramStart"/>
      <w:r>
        <w:rPr>
          <w:rFonts w:eastAsiaTheme="minorEastAsia"/>
          <w:iCs/>
          <w:sz w:val="20"/>
          <w:szCs w:val="20"/>
        </w:rPr>
        <w:t>f,s</w:t>
      </w:r>
      <w:proofErr w:type="gramEnd"/>
      <w:r>
        <w:rPr>
          <w:rFonts w:eastAsiaTheme="minorEastAsia"/>
          <w:iCs/>
          <w:sz w:val="20"/>
          <w:szCs w:val="20"/>
        </w:rPr>
        <w:t>,b</w:t>
      </w:r>
      <w:proofErr w:type="spellEnd"/>
      <w:r>
        <w:rPr>
          <w:rFonts w:eastAsiaTheme="minorEastAsia"/>
          <w:iCs/>
          <w:sz w:val="20"/>
          <w:szCs w:val="20"/>
        </w:rPr>
        <w:t>):</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A6FBE" w14:textId="77777777" w:rsidR="00093980" w:rsidRDefault="00093980" w:rsidP="00812671">
      <w:r>
        <w:separator/>
      </w:r>
    </w:p>
  </w:endnote>
  <w:endnote w:type="continuationSeparator" w:id="0">
    <w:p w14:paraId="6D232357" w14:textId="77777777" w:rsidR="00093980" w:rsidRDefault="00093980"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7CC2" w14:textId="77777777" w:rsidR="00093980" w:rsidRDefault="00093980" w:rsidP="00812671">
      <w:r>
        <w:separator/>
      </w:r>
    </w:p>
  </w:footnote>
  <w:footnote w:type="continuationSeparator" w:id="0">
    <w:p w14:paraId="078D144A" w14:textId="77777777" w:rsidR="00093980" w:rsidRDefault="00093980"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8"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7"/>
  </w:num>
  <w:num w:numId="2" w16cid:durableId="731194100">
    <w:abstractNumId w:val="11"/>
  </w:num>
  <w:num w:numId="3" w16cid:durableId="808665668">
    <w:abstractNumId w:val="5"/>
  </w:num>
  <w:num w:numId="4" w16cid:durableId="413432241">
    <w:abstractNumId w:val="15"/>
  </w:num>
  <w:num w:numId="5" w16cid:durableId="817527392">
    <w:abstractNumId w:val="7"/>
  </w:num>
  <w:num w:numId="6" w16cid:durableId="1269192642">
    <w:abstractNumId w:val="1"/>
  </w:num>
  <w:num w:numId="7" w16cid:durableId="1063139277">
    <w:abstractNumId w:val="19"/>
  </w:num>
  <w:num w:numId="8" w16cid:durableId="1693455287">
    <w:abstractNumId w:val="9"/>
  </w:num>
  <w:num w:numId="9" w16cid:durableId="1545869366">
    <w:abstractNumId w:val="16"/>
  </w:num>
  <w:num w:numId="10" w16cid:durableId="1252199255">
    <w:abstractNumId w:val="18"/>
  </w:num>
  <w:num w:numId="11" w16cid:durableId="794905369">
    <w:abstractNumId w:val="0"/>
  </w:num>
  <w:num w:numId="12" w16cid:durableId="549925578">
    <w:abstractNumId w:val="14"/>
  </w:num>
  <w:num w:numId="13" w16cid:durableId="66266586">
    <w:abstractNumId w:val="4"/>
  </w:num>
  <w:num w:numId="14" w16cid:durableId="1718432391">
    <w:abstractNumId w:val="10"/>
  </w:num>
  <w:num w:numId="15" w16cid:durableId="1085414706">
    <w:abstractNumId w:val="8"/>
  </w:num>
  <w:num w:numId="16" w16cid:durableId="328942264">
    <w:abstractNumId w:val="3"/>
  </w:num>
  <w:num w:numId="17" w16cid:durableId="1588339835">
    <w:abstractNumId w:val="13"/>
  </w:num>
  <w:num w:numId="18" w16cid:durableId="1859192263">
    <w:abstractNumId w:val="2"/>
  </w:num>
  <w:num w:numId="19" w16cid:durableId="1921330123">
    <w:abstractNumId w:val="6"/>
  </w:num>
  <w:num w:numId="20" w16cid:durableId="19693575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572D4"/>
    <w:rsid w:val="0006191D"/>
    <w:rsid w:val="00067E08"/>
    <w:rsid w:val="00071178"/>
    <w:rsid w:val="000733F3"/>
    <w:rsid w:val="00073E52"/>
    <w:rsid w:val="00093980"/>
    <w:rsid w:val="000953A9"/>
    <w:rsid w:val="00096126"/>
    <w:rsid w:val="000A1292"/>
    <w:rsid w:val="000B08F3"/>
    <w:rsid w:val="000C0301"/>
    <w:rsid w:val="000E72EF"/>
    <w:rsid w:val="000F38CA"/>
    <w:rsid w:val="000F5D3B"/>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430CF"/>
    <w:rsid w:val="001652B3"/>
    <w:rsid w:val="001654BF"/>
    <w:rsid w:val="00165F87"/>
    <w:rsid w:val="001763A9"/>
    <w:rsid w:val="00180567"/>
    <w:rsid w:val="00182395"/>
    <w:rsid w:val="00187021"/>
    <w:rsid w:val="00190080"/>
    <w:rsid w:val="001A59D4"/>
    <w:rsid w:val="001A791C"/>
    <w:rsid w:val="001B1254"/>
    <w:rsid w:val="001B2F67"/>
    <w:rsid w:val="001C1EF6"/>
    <w:rsid w:val="001C7358"/>
    <w:rsid w:val="001D25F1"/>
    <w:rsid w:val="001D29F5"/>
    <w:rsid w:val="001E5884"/>
    <w:rsid w:val="001F2665"/>
    <w:rsid w:val="00221F0A"/>
    <w:rsid w:val="002356A9"/>
    <w:rsid w:val="002365A3"/>
    <w:rsid w:val="0024003D"/>
    <w:rsid w:val="00242E25"/>
    <w:rsid w:val="002510CC"/>
    <w:rsid w:val="00251433"/>
    <w:rsid w:val="00255155"/>
    <w:rsid w:val="00255178"/>
    <w:rsid w:val="00255740"/>
    <w:rsid w:val="002607AC"/>
    <w:rsid w:val="002610F4"/>
    <w:rsid w:val="00262943"/>
    <w:rsid w:val="002640F7"/>
    <w:rsid w:val="00265AE4"/>
    <w:rsid w:val="00267277"/>
    <w:rsid w:val="002705AC"/>
    <w:rsid w:val="00274FD3"/>
    <w:rsid w:val="0027583C"/>
    <w:rsid w:val="00276945"/>
    <w:rsid w:val="00277428"/>
    <w:rsid w:val="00282D2B"/>
    <w:rsid w:val="00283421"/>
    <w:rsid w:val="00291D4B"/>
    <w:rsid w:val="0029215B"/>
    <w:rsid w:val="002A78E0"/>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5212"/>
    <w:rsid w:val="00376454"/>
    <w:rsid w:val="00376994"/>
    <w:rsid w:val="00380883"/>
    <w:rsid w:val="00382304"/>
    <w:rsid w:val="00385E08"/>
    <w:rsid w:val="003908F8"/>
    <w:rsid w:val="003A7458"/>
    <w:rsid w:val="003B0290"/>
    <w:rsid w:val="003B0E81"/>
    <w:rsid w:val="003C14F3"/>
    <w:rsid w:val="003C238C"/>
    <w:rsid w:val="003C4066"/>
    <w:rsid w:val="003D0292"/>
    <w:rsid w:val="003F4B1C"/>
    <w:rsid w:val="00412231"/>
    <w:rsid w:val="00415038"/>
    <w:rsid w:val="004159E0"/>
    <w:rsid w:val="00430C2B"/>
    <w:rsid w:val="004339A6"/>
    <w:rsid w:val="00457726"/>
    <w:rsid w:val="00470893"/>
    <w:rsid w:val="00482221"/>
    <w:rsid w:val="004830CD"/>
    <w:rsid w:val="00491A0F"/>
    <w:rsid w:val="00492765"/>
    <w:rsid w:val="004A0C0D"/>
    <w:rsid w:val="004A502D"/>
    <w:rsid w:val="004A50EF"/>
    <w:rsid w:val="004B086B"/>
    <w:rsid w:val="004B0C26"/>
    <w:rsid w:val="004C3C6E"/>
    <w:rsid w:val="004C5663"/>
    <w:rsid w:val="004C6CB2"/>
    <w:rsid w:val="004D1294"/>
    <w:rsid w:val="004D7E0E"/>
    <w:rsid w:val="004E007C"/>
    <w:rsid w:val="004E16D8"/>
    <w:rsid w:val="004E1ACB"/>
    <w:rsid w:val="004E2284"/>
    <w:rsid w:val="004E7C90"/>
    <w:rsid w:val="00510760"/>
    <w:rsid w:val="00516F98"/>
    <w:rsid w:val="005173FF"/>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2CDE"/>
    <w:rsid w:val="005B3398"/>
    <w:rsid w:val="005B59CC"/>
    <w:rsid w:val="005B679C"/>
    <w:rsid w:val="005B6A85"/>
    <w:rsid w:val="005B6AAD"/>
    <w:rsid w:val="005C1FC3"/>
    <w:rsid w:val="005D0D55"/>
    <w:rsid w:val="005D1686"/>
    <w:rsid w:val="005D5D7C"/>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B2387"/>
    <w:rsid w:val="006C303E"/>
    <w:rsid w:val="006C5C08"/>
    <w:rsid w:val="006E1275"/>
    <w:rsid w:val="006E703D"/>
    <w:rsid w:val="006F02CE"/>
    <w:rsid w:val="006F508D"/>
    <w:rsid w:val="006F5DF9"/>
    <w:rsid w:val="007020DC"/>
    <w:rsid w:val="00717A34"/>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A35B4"/>
    <w:rsid w:val="007B04E0"/>
    <w:rsid w:val="007B2A6C"/>
    <w:rsid w:val="007B7154"/>
    <w:rsid w:val="007C34D2"/>
    <w:rsid w:val="007D0B0C"/>
    <w:rsid w:val="007D3F2B"/>
    <w:rsid w:val="007D5657"/>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902AC6"/>
    <w:rsid w:val="0090798F"/>
    <w:rsid w:val="009132B7"/>
    <w:rsid w:val="00924197"/>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E1CE2"/>
    <w:rsid w:val="009F0910"/>
    <w:rsid w:val="009F6127"/>
    <w:rsid w:val="00A00D13"/>
    <w:rsid w:val="00A05B6A"/>
    <w:rsid w:val="00A13DA9"/>
    <w:rsid w:val="00A35137"/>
    <w:rsid w:val="00A40A6D"/>
    <w:rsid w:val="00A41CB0"/>
    <w:rsid w:val="00A443FE"/>
    <w:rsid w:val="00A52C62"/>
    <w:rsid w:val="00A6083D"/>
    <w:rsid w:val="00A758E9"/>
    <w:rsid w:val="00A77647"/>
    <w:rsid w:val="00A82DC4"/>
    <w:rsid w:val="00A8737F"/>
    <w:rsid w:val="00AA0192"/>
    <w:rsid w:val="00AA0E11"/>
    <w:rsid w:val="00AA53FD"/>
    <w:rsid w:val="00AA59C7"/>
    <w:rsid w:val="00AA699F"/>
    <w:rsid w:val="00AA6A20"/>
    <w:rsid w:val="00AA76AF"/>
    <w:rsid w:val="00AB0DC0"/>
    <w:rsid w:val="00AC15C1"/>
    <w:rsid w:val="00B02A51"/>
    <w:rsid w:val="00B02CDC"/>
    <w:rsid w:val="00B07978"/>
    <w:rsid w:val="00B14D34"/>
    <w:rsid w:val="00B252E5"/>
    <w:rsid w:val="00B27E54"/>
    <w:rsid w:val="00B30F90"/>
    <w:rsid w:val="00B323B3"/>
    <w:rsid w:val="00B33877"/>
    <w:rsid w:val="00B362A5"/>
    <w:rsid w:val="00B42BC2"/>
    <w:rsid w:val="00B704B8"/>
    <w:rsid w:val="00B713D0"/>
    <w:rsid w:val="00B7530C"/>
    <w:rsid w:val="00B755EB"/>
    <w:rsid w:val="00B80E8E"/>
    <w:rsid w:val="00B8268A"/>
    <w:rsid w:val="00B870F1"/>
    <w:rsid w:val="00B94D0F"/>
    <w:rsid w:val="00BA2459"/>
    <w:rsid w:val="00BB1493"/>
    <w:rsid w:val="00BB350B"/>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CDF"/>
    <w:rsid w:val="00C47B81"/>
    <w:rsid w:val="00C535B3"/>
    <w:rsid w:val="00C537DB"/>
    <w:rsid w:val="00C55C9B"/>
    <w:rsid w:val="00C60212"/>
    <w:rsid w:val="00C65BF4"/>
    <w:rsid w:val="00C71057"/>
    <w:rsid w:val="00C80EC2"/>
    <w:rsid w:val="00C81309"/>
    <w:rsid w:val="00C84703"/>
    <w:rsid w:val="00C91702"/>
    <w:rsid w:val="00C93DF5"/>
    <w:rsid w:val="00C96197"/>
    <w:rsid w:val="00CA1A6C"/>
    <w:rsid w:val="00CA2092"/>
    <w:rsid w:val="00CC67D4"/>
    <w:rsid w:val="00CD294A"/>
    <w:rsid w:val="00CD2CFD"/>
    <w:rsid w:val="00CD3DEC"/>
    <w:rsid w:val="00CD658D"/>
    <w:rsid w:val="00CE2619"/>
    <w:rsid w:val="00CE31FC"/>
    <w:rsid w:val="00CE3965"/>
    <w:rsid w:val="00CE495E"/>
    <w:rsid w:val="00CE6AB8"/>
    <w:rsid w:val="00CE7AAB"/>
    <w:rsid w:val="00CF16A1"/>
    <w:rsid w:val="00CF2A66"/>
    <w:rsid w:val="00D1292F"/>
    <w:rsid w:val="00D137D1"/>
    <w:rsid w:val="00D14823"/>
    <w:rsid w:val="00D158AF"/>
    <w:rsid w:val="00D22199"/>
    <w:rsid w:val="00D23AB0"/>
    <w:rsid w:val="00D368C9"/>
    <w:rsid w:val="00D3720D"/>
    <w:rsid w:val="00D41921"/>
    <w:rsid w:val="00D43AAF"/>
    <w:rsid w:val="00D5209F"/>
    <w:rsid w:val="00D61795"/>
    <w:rsid w:val="00D7184D"/>
    <w:rsid w:val="00D816BE"/>
    <w:rsid w:val="00D82080"/>
    <w:rsid w:val="00D82294"/>
    <w:rsid w:val="00D869CA"/>
    <w:rsid w:val="00D87CF5"/>
    <w:rsid w:val="00D9176D"/>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20B2"/>
    <w:rsid w:val="00E43D66"/>
    <w:rsid w:val="00E45669"/>
    <w:rsid w:val="00E46092"/>
    <w:rsid w:val="00E47410"/>
    <w:rsid w:val="00E512F2"/>
    <w:rsid w:val="00E5158D"/>
    <w:rsid w:val="00E53B71"/>
    <w:rsid w:val="00E6201D"/>
    <w:rsid w:val="00E63C8B"/>
    <w:rsid w:val="00E72BED"/>
    <w:rsid w:val="00E826A1"/>
    <w:rsid w:val="00E841BC"/>
    <w:rsid w:val="00E921CA"/>
    <w:rsid w:val="00E96413"/>
    <w:rsid w:val="00E9688A"/>
    <w:rsid w:val="00E97E19"/>
    <w:rsid w:val="00EA0262"/>
    <w:rsid w:val="00EA20F4"/>
    <w:rsid w:val="00EC454F"/>
    <w:rsid w:val="00ED00DD"/>
    <w:rsid w:val="00EE2968"/>
    <w:rsid w:val="00EE4930"/>
    <w:rsid w:val="00EF654C"/>
    <w:rsid w:val="00EF7873"/>
    <w:rsid w:val="00F00AD8"/>
    <w:rsid w:val="00F030E9"/>
    <w:rsid w:val="00F05233"/>
    <w:rsid w:val="00F14E83"/>
    <w:rsid w:val="00F258C4"/>
    <w:rsid w:val="00F44587"/>
    <w:rsid w:val="00F51C08"/>
    <w:rsid w:val="00F556EF"/>
    <w:rsid w:val="00F65BA7"/>
    <w:rsid w:val="00F6601D"/>
    <w:rsid w:val="00F768F4"/>
    <w:rsid w:val="00F85659"/>
    <w:rsid w:val="00F96861"/>
    <w:rsid w:val="00F97EE7"/>
    <w:rsid w:val="00FA1795"/>
    <w:rsid w:val="00FA454F"/>
    <w:rsid w:val="00FB0650"/>
    <w:rsid w:val="00FB1DB7"/>
    <w:rsid w:val="00FB243E"/>
    <w:rsid w:val="00FD0A62"/>
    <w:rsid w:val="00FD2797"/>
    <w:rsid w:val="00FD7A51"/>
    <w:rsid w:val="00FE434E"/>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24</Pages>
  <Words>11230</Words>
  <Characters>64012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cp:lastPrinted>2023-08-30T08:58:00Z</cp:lastPrinted>
  <dcterms:created xsi:type="dcterms:W3CDTF">2023-08-30T08:58:00Z</dcterms:created>
  <dcterms:modified xsi:type="dcterms:W3CDTF">2023-09-03T00:28:00Z</dcterms:modified>
</cp:coreProperties>
</file>