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F5493CD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535BB4A2" w:rsidR="0055788C" w:rsidRDefault="003B435A">
      <w:pPr>
        <w:rPr>
          <w:rFonts w:eastAsiaTheme="minorEastAsia"/>
        </w:rPr>
      </w:pPr>
      <w:r>
        <w:t xml:space="preserve">The Semantic Simulation framework ([1]) develops PARF as the natural generalization of a central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0D4354">
        <w:rPr>
          <w:rFonts w:eastAsiaTheme="minorEastAsia"/>
        </w:rPr>
        <w:t xml:space="preserve"> law to a space where both pairwise direction </w:t>
      </w:r>
      <w:r w:rsidR="000D4354" w:rsidRPr="000D4354">
        <w:rPr>
          <w:rFonts w:eastAsiaTheme="minorEastAsia"/>
          <w:i/>
          <w:iCs/>
        </w:rPr>
        <w:t>and</w:t>
      </w:r>
      <w:r w:rsidR="000D4354">
        <w:rPr>
          <w:rFonts w:eastAsiaTheme="minorEastAsia"/>
        </w:rPr>
        <w:t xml:space="preserve"> pairwise type enter:</w:t>
      </w:r>
    </w:p>
    <w:p w14:paraId="7540F740" w14:textId="77777777" w:rsidR="000D4354" w:rsidRDefault="000D4354">
      <w:pPr>
        <w:rPr>
          <w:rFonts w:eastAsiaTheme="minorEastAsia"/>
        </w:rPr>
      </w:pPr>
    </w:p>
    <w:p w14:paraId="1CC955ED" w14:textId="73D3B853" w:rsidR="000D4354" w:rsidRDefault="008E77B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=C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Θ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d>
                  </m:sup>
                </m:sSup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den>
        </m:f>
      </m:oMath>
      <w:r w:rsidR="0099791F">
        <w:rPr>
          <w:rFonts w:eastAsiaTheme="minorEastAsia"/>
        </w:rPr>
        <w:t xml:space="preserve"> </w:t>
      </w:r>
      <w:r w:rsidR="008225DC">
        <w:rPr>
          <w:rFonts w:eastAsiaTheme="minorEastAsia"/>
        </w:rPr>
        <w:t xml:space="preserve">   (parf.1)</w:t>
      </w:r>
    </w:p>
    <w:p w14:paraId="1A111634" w14:textId="77777777" w:rsidR="0099791F" w:rsidRDefault="0099791F">
      <w:pPr>
        <w:rPr>
          <w:rFonts w:eastAsiaTheme="minorEastAsia"/>
        </w:rPr>
      </w:pPr>
    </w:p>
    <w:p w14:paraId="7D52F803" w14:textId="729D4B6F" w:rsidR="0099791F" w:rsidRDefault="008225DC">
      <w:pPr>
        <w:rPr>
          <w:rFonts w:eastAsiaTheme="minorEastAsia"/>
        </w:rPr>
      </w:pPr>
      <w:r>
        <w:rPr>
          <w:rFonts w:eastAsiaTheme="minorEastAsia"/>
        </w:rPr>
        <w:t xml:space="preserve">Here the </w:t>
      </w:r>
      <w:r w:rsidRPr="00B20EC1">
        <w:rPr>
          <w:rFonts w:eastAsiaTheme="minorEastAsia"/>
          <w:i/>
          <w:iCs/>
        </w:rPr>
        <w:t>type</w:t>
      </w:r>
      <w:r>
        <w:rPr>
          <w:rFonts w:eastAsiaTheme="minorEastAsia"/>
        </w:rPr>
        <w:t xml:space="preserve">-matcher </w:t>
      </w:r>
      <m:oMath>
        <m:r>
          <m:rPr>
            <m:sty m:val="p"/>
          </m:rP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is a </w:t>
      </w:r>
      <w:r w:rsidRPr="008225DC">
        <w:rPr>
          <w:rFonts w:eastAsiaTheme="minorEastAsia"/>
          <w:i/>
          <w:iCs/>
        </w:rPr>
        <w:t>gating</w:t>
      </w:r>
      <w:r>
        <w:rPr>
          <w:rFonts w:eastAsiaTheme="minorEastAsia"/>
        </w:rPr>
        <w:t xml:space="preserve"> factor: aspects of incompatible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 contribute force exponentially suppressed in their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-distance. The </w:t>
      </w:r>
      <m:oMath>
        <m:r>
          <w:rPr>
            <w:rFonts w:ascii="Cambria Math" w:eastAsiaTheme="minorEastAsia" w:hAnsi="Cambria Math"/>
          </w:rPr>
          <m:t>§5.1</m:t>
        </m:r>
      </m:oMath>
      <w:r w:rsidR="00B20EC1">
        <w:rPr>
          <w:rFonts w:eastAsiaTheme="minorEastAsia"/>
        </w:rPr>
        <w:t xml:space="preserve"> Theorem 16 </w:t>
      </w:r>
      <w:r w:rsidR="00032387">
        <w:rPr>
          <w:rFonts w:eastAsiaTheme="minorEastAsia"/>
        </w:rPr>
        <w:t xml:space="preserve">of [1] </w:t>
      </w:r>
      <w:r w:rsidR="00B20EC1">
        <w:rPr>
          <w:rFonts w:eastAsiaTheme="minorEastAsia"/>
        </w:rPr>
        <w:t>makes</w:t>
      </w:r>
      <w:r w:rsidR="00032387">
        <w:rPr>
          <w:rFonts w:eastAsiaTheme="minorEastAsia"/>
        </w:rPr>
        <w:t xml:space="preserve"> this precise – pairs of close type-relatedness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&lt;δ</m:t>
        </m:r>
      </m:oMath>
      <w:r w:rsidR="00032387">
        <w:rPr>
          <w:rFonts w:eastAsiaTheme="minorEastAsia"/>
        </w:rPr>
        <w:t xml:space="preserve"> carry essentially all of the interaction; </w:t>
      </w:r>
      <w:r w:rsidR="00E4399A">
        <w:rPr>
          <w:rFonts w:eastAsiaTheme="minorEastAsia"/>
        </w:rPr>
        <w:t xml:space="preserve">the rest contributes negligibly and can be dropped into the dissipation budget. </w:t>
      </w:r>
    </w:p>
    <w:p w14:paraId="7CBF4F9E" w14:textId="77777777" w:rsidR="00F94665" w:rsidRDefault="00F94665">
      <w:pPr>
        <w:rPr>
          <w:rFonts w:eastAsiaTheme="minorEastAsia"/>
          <w:u w:val="single"/>
        </w:rPr>
      </w:pPr>
    </w:p>
    <w:p w14:paraId="37B59298" w14:textId="621FE5CA" w:rsidR="000733B4" w:rsidRDefault="000733B4">
      <w:pPr>
        <w:rPr>
          <w:rFonts w:eastAsiaTheme="minorEastAsia"/>
          <w:u w:val="single"/>
        </w:rPr>
      </w:pPr>
      <w:r w:rsidRPr="00F94665">
        <w:rPr>
          <w:rFonts w:eastAsiaTheme="minorEastAsia"/>
          <w:u w:val="single"/>
        </w:rPr>
        <w:t xml:space="preserve">Note on the dissipative force in </w:t>
      </w:r>
      <w:r w:rsidR="00F94665" w:rsidRPr="00F94665">
        <w:rPr>
          <w:rFonts w:eastAsiaTheme="minorEastAsia"/>
          <w:u w:val="single"/>
        </w:rPr>
        <w:t>PARFLM</w:t>
      </w:r>
    </w:p>
    <w:p w14:paraId="1FAA44D8" w14:textId="77777777" w:rsidR="00F94665" w:rsidRPr="00F94665" w:rsidRDefault="00F94665">
      <w:pPr>
        <w:rPr>
          <w:rFonts w:eastAsiaTheme="minorEastAsia"/>
        </w:rPr>
      </w:pPr>
    </w:p>
    <w:p w14:paraId="1AD15242" w14:textId="5885A099" w:rsidR="00F94665" w:rsidRDefault="00F94665">
      <w:pPr>
        <w:rPr>
          <w:rFonts w:eastAsiaTheme="minorEastAsia"/>
        </w:rPr>
      </w:pPr>
      <w:r>
        <w:rPr>
          <w:rFonts w:eastAsiaTheme="minorEastAsia"/>
        </w:rPr>
        <w:t xml:space="preserve">The SPLM/PARFLM framework is a damped second-order dynamical system. The equation of motion for each token’s hidden state is: </w:t>
      </w:r>
    </w:p>
    <w:p w14:paraId="525FC17D" w14:textId="77777777" w:rsidR="00F94665" w:rsidRDefault="00F94665">
      <w:pPr>
        <w:rPr>
          <w:rFonts w:eastAsiaTheme="minorEastAsia"/>
        </w:rPr>
      </w:pPr>
    </w:p>
    <w:p w14:paraId="01EEE339" w14:textId="691D9FBB" w:rsidR="00F94665" w:rsidRDefault="00F94665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V=0</m:t>
        </m:r>
      </m:oMath>
      <w:r>
        <w:rPr>
          <w:rFonts w:eastAsiaTheme="minorEastAsia"/>
        </w:rPr>
        <w:t xml:space="preserve">     (dmp.1)</w:t>
      </w:r>
    </w:p>
    <w:p w14:paraId="61E9D7C0" w14:textId="77777777" w:rsidR="00FC3F38" w:rsidRDefault="00FC3F38">
      <w:pPr>
        <w:rPr>
          <w:rFonts w:eastAsiaTheme="minorEastAsia"/>
        </w:rPr>
      </w:pPr>
    </w:p>
    <w:p w14:paraId="31E404B7" w14:textId="77777777" w:rsidR="003A17CF" w:rsidRDefault="00571478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>
        <w:rPr>
          <w:rFonts w:eastAsiaTheme="minorEastAsia"/>
        </w:rPr>
        <w:t xml:space="preserve"> term is the dissipative (damping) force – it continuously drains kinetic energy from the system, acting like friction. </w:t>
      </w:r>
      <w:r w:rsidR="00B62A43">
        <w:rPr>
          <w:rFonts w:eastAsiaTheme="minorEastAsia"/>
        </w:rPr>
        <w:t xml:space="preserve">The dissipative force makes trajectories converge to semantic attractors. </w:t>
      </w:r>
      <w:r w:rsidR="00376627">
        <w:rPr>
          <w:rFonts w:eastAsiaTheme="minorEastAsia"/>
        </w:rPr>
        <w:t xml:space="preserve">In this regard the omitted forces of not closely related pairs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≥</m:t>
        </m:r>
        <m:r>
          <w:rPr>
            <w:rFonts w:ascii="Cambria Math" w:eastAsiaTheme="minorEastAsia" w:hAnsi="Cambria Math"/>
          </w:rPr>
          <m:t>δ</m:t>
        </m:r>
      </m:oMath>
      <w:r w:rsidR="00376627">
        <w:rPr>
          <w:rFonts w:eastAsiaTheme="minorEastAsia"/>
        </w:rPr>
        <w:t xml:space="preserve"> are so small that they compare to (or smaller than) the energy which the damping term removes at each integration step. </w:t>
      </w:r>
      <w:r w:rsidR="00344192">
        <w:rPr>
          <w:rFonts w:eastAsiaTheme="minorEastAsia"/>
        </w:rPr>
        <w:t xml:space="preserve">For example, if the dissipative force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 w:rsidR="00344192">
        <w:rPr>
          <w:rFonts w:eastAsiaTheme="minorEastAsia"/>
        </w:rPr>
        <w:t xml:space="preserve"> is 0.5 per step, </w:t>
      </w:r>
      <w:r w:rsidR="00344192">
        <w:rPr>
          <w:rFonts w:eastAsiaTheme="minorEastAsia"/>
        </w:rPr>
        <w:lastRenderedPageBreak/>
        <w:t xml:space="preserve">and the force contribution from a type-dissimilar </w:t>
      </w:r>
      <w:r w:rsidR="00BE2823">
        <w:rPr>
          <w:rFonts w:eastAsiaTheme="minorEastAsia"/>
        </w:rPr>
        <w:t xml:space="preserve">pair is magnitude 0.001, then ignoring that pair changes the trajectory by less than what the damping already absorbs. </w:t>
      </w:r>
      <w:r w:rsidR="00106A60">
        <w:rPr>
          <w:rFonts w:eastAsiaTheme="minorEastAsia"/>
        </w:rPr>
        <w:t xml:space="preserve">The truncation error is literally “paid for” by the friction that was going to remove that energy anyways. </w:t>
      </w:r>
      <w:r w:rsidR="00916FAA">
        <w:rPr>
          <w:rFonts w:eastAsiaTheme="minorEastAsia"/>
        </w:rPr>
        <w:t>The companion note [4] makes this precise. The framework’s top-k sparsity prescription (</w:t>
      </w:r>
      <w:r w:rsidR="00944422">
        <w:rPr>
          <w:rFonts w:eastAsiaTheme="minorEastAsia"/>
        </w:rPr>
        <w:t>see Definition 17 and Section 5.2 of [1])</w:t>
      </w:r>
      <w:r w:rsidR="003A17CF">
        <w:rPr>
          <w:rFonts w:eastAsiaTheme="minorEastAsia"/>
        </w:rPr>
        <w:t xml:space="preserve"> drops all but the strongest pair forces and the bound on the truncation error is:</w:t>
      </w:r>
    </w:p>
    <w:p w14:paraId="70704099" w14:textId="77777777" w:rsidR="003A17CF" w:rsidRDefault="003A17CF">
      <w:pPr>
        <w:rPr>
          <w:rFonts w:eastAsiaTheme="minorEastAsia"/>
        </w:rPr>
      </w:pPr>
    </w:p>
    <w:p w14:paraId="164D6C38" w14:textId="235B6FC8" w:rsidR="00FC3F38" w:rsidRDefault="003A17CF">
      <w:pPr>
        <w:rPr>
          <w:rFonts w:eastAsiaTheme="minorEastAsia"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full sum</m:t>
            </m:r>
            <m: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top</m:t>
            </m:r>
            <m:r>
              <w:rPr>
                <w:rFonts w:ascii="Cambria Math" w:eastAsiaTheme="minorEastAsia" w:hAnsi="Cambria Math"/>
              </w:rPr>
              <m:t>k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sum</m:t>
            </m:r>
          </m:e>
        </m:d>
        <m:r>
          <w:rPr>
            <w:rFonts w:ascii="Cambria Math" w:eastAsiaTheme="minorEastAsia" w:hAnsi="Cambria Math"/>
          </w:rPr>
          <m:t xml:space="preserve">≤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T-k-1</m:t>
            </m:r>
          </m:e>
        </m:d>
        <m:r>
          <w:rPr>
            <w:rFonts w:ascii="Cambria Math" w:eastAsiaTheme="minorEastAsia" w:hAnsi="Cambria Math"/>
          </w:rPr>
          <m:t>∙τ</m:t>
        </m:r>
      </m:oMath>
      <w:r w:rsidR="00916FAA">
        <w:rPr>
          <w:rFonts w:eastAsiaTheme="minorEastAsia"/>
        </w:rPr>
        <w:t xml:space="preserve"> </w:t>
      </w:r>
      <w:r w:rsidR="002A781C">
        <w:rPr>
          <w:rFonts w:eastAsiaTheme="minorEastAsia"/>
        </w:rPr>
        <w:t xml:space="preserve">     </w:t>
      </w:r>
      <w:r w:rsidR="002F358D">
        <w:rPr>
          <w:rFonts w:eastAsiaTheme="minorEastAsia"/>
        </w:rPr>
        <w:t>(gmb.1)</w:t>
      </w:r>
    </w:p>
    <w:p w14:paraId="60DCBDBD" w14:textId="082D491E" w:rsidR="00995ECC" w:rsidRDefault="00995ECC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</w:rPr>
        <w:t xml:space="preserve"> is the parameter of the Gumbel-softmax distribution.</w:t>
      </w:r>
    </w:p>
    <w:p w14:paraId="57CFABA3" w14:textId="77777777" w:rsidR="000733B4" w:rsidRDefault="000733B4">
      <w:pPr>
        <w:rPr>
          <w:rFonts w:eastAsiaTheme="minorEastAsia"/>
        </w:rPr>
      </w:pPr>
    </w:p>
    <w:p w14:paraId="5A306495" w14:textId="56CD0981" w:rsidR="000733B4" w:rsidRDefault="000733B4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2F27FB2" wp14:editId="2B9E7E18">
            <wp:extent cx="5943600" cy="3016250"/>
            <wp:effectExtent l="0" t="0" r="0" b="6350"/>
            <wp:docPr id="1326217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17892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49FE" w14:textId="77777777" w:rsidR="00A4121B" w:rsidRDefault="00A4121B">
      <w:pPr>
        <w:rPr>
          <w:rFonts w:eastAsiaTheme="minorEastAsia"/>
        </w:rPr>
      </w:pPr>
    </w:p>
    <w:p w14:paraId="52625195" w14:textId="019C36E3" w:rsidR="00A4121B" w:rsidRDefault="00A4121B" w:rsidP="00A4121B">
      <w:pPr>
        <w:pStyle w:val="Heading1"/>
        <w:rPr>
          <w:rFonts w:eastAsiaTheme="minorEastAsia"/>
        </w:rPr>
      </w:pPr>
      <w:r>
        <w:rPr>
          <w:rFonts w:eastAsiaTheme="minorEastAsia"/>
        </w:rPr>
        <w:t>Design of the Pairwise potentials in Multi-Head PARFLM Architectures</w:t>
      </w:r>
    </w:p>
    <w:p w14:paraId="4D3C4030" w14:textId="77777777" w:rsidR="00A4121B" w:rsidRDefault="00A4121B" w:rsidP="00A4121B"/>
    <w:p w14:paraId="4A5ED6AA" w14:textId="7EBA1F15" w:rsidR="00A4121B" w:rsidRPr="00A4121B" w:rsidRDefault="00A4121B" w:rsidP="00A4121B">
      <w:r>
        <w:t xml:space="preserve">The multi-head PARFLM architecture implemented by such models as Fock-PARFLM v2.1 for OpenWebText scaleup uses three distinct NN components wired together as the pairwise potential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eastAsiaTheme="minorEastAsia"/>
        </w:rPr>
        <w:t>.</w:t>
      </w:r>
      <w:r w:rsidR="00897B0B">
        <w:rPr>
          <w:rFonts w:eastAsiaTheme="minorEastAsia"/>
        </w:rPr>
        <w:t xml:space="preserve"> All three components produce scalar </w:t>
      </w:r>
      <w:r w:rsidR="0099791F">
        <w:rPr>
          <w:rFonts w:eastAsiaTheme="minorEastAsia"/>
        </w:rPr>
        <w:t>outputs,</w:t>
      </w:r>
      <w:r w:rsidR="00897B0B">
        <w:rPr>
          <w:rFonts w:eastAsiaTheme="minorEastAsia"/>
        </w:rPr>
        <w:t xml:space="preserve"> so their sum is scalar </w:t>
      </w:r>
      <w:r w:rsidR="00106A60">
        <w:rPr>
          <w:rFonts w:eastAsiaTheme="minorEastAsia"/>
        </w:rPr>
        <w:t>potential,</w:t>
      </w:r>
      <w:r w:rsidR="00897B0B">
        <w:rPr>
          <w:rFonts w:eastAsiaTheme="minorEastAsia"/>
        </w:rPr>
        <w:t xml:space="preserve"> and the induced force remains conservative.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0DCF2895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169C789" w:rsidR="001D4198" w:rsidRDefault="00A4121B">
      <w:r>
        <w:rPr>
          <w:noProof/>
        </w:rPr>
        <w:lastRenderedPageBreak/>
        <w:drawing>
          <wp:inline distT="0" distB="0" distL="0" distR="0" wp14:anchorId="0218C185" wp14:editId="005A0650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8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</w:t>
        </w:r>
        <w:r w:rsidR="008314CD" w:rsidRPr="008314CD">
          <w:rPr>
            <w:rStyle w:val="Hyperlink"/>
            <w:rFonts w:eastAsiaTheme="minorEastAsia"/>
          </w:rPr>
          <w:t>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9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10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11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</w:t>
      </w:r>
      <w:r w:rsidR="00866301">
        <w:t xml:space="preserve"> </w:t>
      </w:r>
      <w:hyperlink r:id="rId12" w:history="1">
        <w:r w:rsidR="00866301" w:rsidRPr="00866301">
          <w:rPr>
            <w:rStyle w:val="Hyperlink"/>
          </w:rPr>
          <w:t>[1]</w:t>
        </w:r>
      </w:hyperlink>
    </w:p>
    <w:p w14:paraId="4CE38274" w14:textId="6762359C" w:rsidR="001D4198" w:rsidRDefault="001D4198">
      <w:r>
        <w:t>[4]</w:t>
      </w:r>
      <w:r w:rsidR="007D43CC">
        <w:t xml:space="preserve"> </w:t>
      </w:r>
      <w:hyperlink r:id="rId13" w:history="1">
        <w:r w:rsidR="00106A60" w:rsidRPr="00106A60">
          <w:rPr>
            <w:rStyle w:val="Hyperlink"/>
          </w:rPr>
          <w:t xml:space="preserve">On Gumbel-softmax Sparsity Applied to 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ϕ</m:t>
              </m:r>
            </m:sub>
          </m:sSub>
        </m:oMath>
      </w:hyperlink>
      <w:r w:rsidR="00106A60">
        <w:rPr>
          <w:rFonts w:eastAsiaTheme="minorEastAsia"/>
        </w:rPr>
        <w:t xml:space="preserve">, </w:t>
      </w:r>
      <w:r w:rsidR="00106A60">
        <w:t xml:space="preserve">companion note to  </w:t>
      </w:r>
      <w:hyperlink r:id="rId14" w:history="1">
        <w:r w:rsidR="00106A60" w:rsidRPr="00866301">
          <w:rPr>
            <w:rStyle w:val="Hyperlink"/>
          </w:rPr>
          <w:t>[1]</w:t>
        </w:r>
      </w:hyperlink>
    </w:p>
    <w:p w14:paraId="289C6930" w14:textId="4B254F8E" w:rsidR="0055788C" w:rsidRDefault="0055788C"/>
    <w:p w14:paraId="3E1095AF" w14:textId="77777777" w:rsidR="000318EC" w:rsidRDefault="000318EC"/>
    <w:p w14:paraId="6799EA06" w14:textId="7846540D" w:rsidR="000318EC" w:rsidRDefault="002F358D" w:rsidP="002F358D">
      <w:pPr>
        <w:pStyle w:val="Heading1"/>
      </w:pPr>
      <w:r>
        <w:t xml:space="preserve">Appendix </w:t>
      </w:r>
    </w:p>
    <w:p w14:paraId="2FBA88C7" w14:textId="77777777" w:rsidR="002F358D" w:rsidRDefault="002F358D"/>
    <w:p w14:paraId="76255776" w14:textId="684373A9" w:rsidR="002F358D" w:rsidRDefault="002F358D" w:rsidP="002F358D">
      <w:pPr>
        <w:pStyle w:val="Heading2"/>
      </w:pPr>
      <w:r>
        <w:t>Categorical Sampling and the Gumbel-Max trick</w:t>
      </w:r>
    </w:p>
    <w:p w14:paraId="1F69EEAC" w14:textId="77777777" w:rsidR="002F358D" w:rsidRDefault="002F358D" w:rsidP="002F358D"/>
    <w:p w14:paraId="20C10DFF" w14:textId="77777777" w:rsidR="002F358D" w:rsidRPr="002F358D" w:rsidRDefault="002F358D" w:rsidP="002F358D"/>
    <w:sectPr w:rsidR="002F358D" w:rsidRPr="002F3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032387"/>
    <w:rsid w:val="000733B4"/>
    <w:rsid w:val="000D4354"/>
    <w:rsid w:val="00106A60"/>
    <w:rsid w:val="001D4198"/>
    <w:rsid w:val="0028631B"/>
    <w:rsid w:val="002A781C"/>
    <w:rsid w:val="002F358D"/>
    <w:rsid w:val="00344192"/>
    <w:rsid w:val="00376627"/>
    <w:rsid w:val="003A17CF"/>
    <w:rsid w:val="003B435A"/>
    <w:rsid w:val="00436352"/>
    <w:rsid w:val="0053777D"/>
    <w:rsid w:val="0055788C"/>
    <w:rsid w:val="00571478"/>
    <w:rsid w:val="0076273D"/>
    <w:rsid w:val="007D43CC"/>
    <w:rsid w:val="008225DC"/>
    <w:rsid w:val="008314CD"/>
    <w:rsid w:val="00866301"/>
    <w:rsid w:val="00897B0B"/>
    <w:rsid w:val="008E77B1"/>
    <w:rsid w:val="00916FAA"/>
    <w:rsid w:val="00944422"/>
    <w:rsid w:val="00995ECC"/>
    <w:rsid w:val="0099791F"/>
    <w:rsid w:val="009E4EFF"/>
    <w:rsid w:val="00A4121B"/>
    <w:rsid w:val="00AD2000"/>
    <w:rsid w:val="00B20EC1"/>
    <w:rsid w:val="00B62A43"/>
    <w:rsid w:val="00BE2823"/>
    <w:rsid w:val="00E4399A"/>
    <w:rsid w:val="00F94665"/>
    <w:rsid w:val="00F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D435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hyperlink" Target="https://github.com/dimitarpg13/semsimula-paper/blob/main/companion_notes/On_Gumbel_softmax_sparsity_applied_to_V_phi.m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imitarpg13/semsimula-paper/blob/main/companion_notes/On_the_MLP_Layer_modeling_pairwise_potential.md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PARF_Augmented_SPLM_Architecture_v2.md" TargetMode="External"/><Relationship Id="rId1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535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24</cp:revision>
  <dcterms:created xsi:type="dcterms:W3CDTF">2026-06-21T19:16:00Z</dcterms:created>
  <dcterms:modified xsi:type="dcterms:W3CDTF">2026-06-22T11:37:00Z</dcterms:modified>
</cp:coreProperties>
</file>