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26850DE7" w14:textId="09018F90" w:rsidR="00D63637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12184" w:history="1">
            <w:r w:rsidR="00D63637" w:rsidRPr="00890255">
              <w:rPr>
                <w:rStyle w:val="Hyperlink"/>
                <w:noProof/>
              </w:rPr>
              <w:t>Reference Vanilla Architecture for the Scalar Potential Language Model</w:t>
            </w:r>
            <w:r w:rsidR="00D63637">
              <w:rPr>
                <w:noProof/>
                <w:webHidden/>
              </w:rPr>
              <w:tab/>
            </w:r>
            <w:r w:rsidR="00D63637">
              <w:rPr>
                <w:noProof/>
                <w:webHidden/>
              </w:rPr>
              <w:fldChar w:fldCharType="begin"/>
            </w:r>
            <w:r w:rsidR="00D63637">
              <w:rPr>
                <w:noProof/>
                <w:webHidden/>
              </w:rPr>
              <w:instrText xml:space="preserve"> PAGEREF _Toc230812184 \h </w:instrText>
            </w:r>
            <w:r w:rsidR="00D63637">
              <w:rPr>
                <w:noProof/>
                <w:webHidden/>
              </w:rPr>
            </w:r>
            <w:r w:rsidR="00D63637"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 w:rsidR="00D63637">
              <w:rPr>
                <w:noProof/>
                <w:webHidden/>
              </w:rPr>
              <w:fldChar w:fldCharType="end"/>
            </w:r>
          </w:hyperlink>
        </w:p>
        <w:p w14:paraId="597318B4" w14:textId="223106AE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85" w:history="1">
            <w:r w:rsidRPr="00890255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9DAA" w14:textId="3F899EB8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6" w:history="1">
            <w:r w:rsidRPr="00890255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484C" w14:textId="576BF6ED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7" w:history="1">
            <w:r w:rsidRPr="00890255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2E4D" w14:textId="0E28FE6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8" w:history="1">
            <w:r w:rsidRPr="00890255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F1DA2" w14:textId="6D2A1F3B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89" w:history="1">
            <w:r w:rsidRPr="00890255">
              <w:rPr>
                <w:rStyle w:val="Hyperlink"/>
                <w:noProof/>
              </w:rPr>
              <w:t>Derived / Intermediate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B71A" w14:textId="1D5BAEC3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0" w:history="1">
            <w:r w:rsidRPr="00890255">
              <w:rPr>
                <w:rStyle w:val="Hyperlink"/>
                <w:noProof/>
              </w:rPr>
              <w:t>Loss and Training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45D3" w14:textId="456AB9F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1" w:history="1">
            <w:r w:rsidRPr="00890255">
              <w:rPr>
                <w:rStyle w:val="Hyperlink"/>
                <w:noProof/>
              </w:rPr>
              <w:t>Oracle-Fit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8046" w14:textId="17C0F286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2" w:history="1">
            <w:r w:rsidRPr="00890255">
              <w:rPr>
                <w:rStyle w:val="Hyperlink"/>
                <w:noProof/>
              </w:rPr>
              <w:t>Architectural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E85A" w14:textId="7A46A089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3" w:history="1">
            <w:r w:rsidRPr="00890255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A654" w14:textId="77709C7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4" w:history="1">
            <w:r w:rsidRPr="00890255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B1FE" w14:textId="35C78CB3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5" w:history="1">
            <w:r w:rsidRPr="0089025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13013" w14:textId="5AA46FC7" w:rsidR="00D63637" w:rsidRDefault="00D6363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812196" w:history="1">
            <w:r w:rsidRPr="0089025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DF15D" w14:textId="33FA0C9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197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59EB" w14:textId="71404A0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8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841A" w14:textId="1A310947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199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E3B0" w14:textId="67ABD1B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0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EB5B9" w14:textId="7E1F17E5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1" w:history="1">
            <w:r w:rsidRPr="00890255">
              <w:rPr>
                <w:rStyle w:val="Hyperlink"/>
                <w:noProof/>
              </w:rPr>
              <w:t xml:space="preserve">The SPLM Config :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4B6E" w14:textId="234F20AE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2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90E7" w14:textId="41DC2C0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3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D4DF" w14:textId="79A2BDF0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4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3885" w14:textId="69E78DC2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5" w:history="1">
            <w:r w:rsidRPr="00890255">
              <w:rPr>
                <w:rStyle w:val="Hyperlink"/>
                <w:noProof/>
              </w:rPr>
              <w:t xml:space="preserve">The SARF Config - 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010F" w14:textId="053021D1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6" w:history="1">
            <w:r w:rsidRPr="00890255">
              <w:rPr>
                <w:rStyle w:val="Hyperlink"/>
                <w:noProof/>
              </w:rPr>
              <w:t xml:space="preserve">Function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085DF" w14:textId="3E9168FC" w:rsidR="00D63637" w:rsidRDefault="00D6363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812207" w:history="1">
            <w:r w:rsidRPr="00890255">
              <w:rPr>
                <w:rStyle w:val="Hyperlink"/>
                <w:noProof/>
              </w:rPr>
              <w:t xml:space="preserve">Class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ABA8" w14:textId="11749C01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8" w:history="1">
            <w:r w:rsidRPr="00890255">
              <w:rPr>
                <w:rStyle w:val="Hyperlink"/>
                <w:noProof/>
              </w:rPr>
              <w:t xml:space="preserve">Module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2183B" w14:textId="05866944" w:rsidR="00D63637" w:rsidRDefault="00D63637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812209" w:history="1">
            <w:r w:rsidRPr="00890255">
              <w:rPr>
                <w:rStyle w:val="Hyperlink"/>
                <w:noProof/>
              </w:rPr>
              <w:t xml:space="preserve">The Config Class: </w:t>
            </w:r>
            <w:r w:rsidRPr="00890255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03D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2F78853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81218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81218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81218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w:lastRenderedPageBreak/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81218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81218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bookmarkStart w:id="5" w:name="_Toc230812189"/>
      <w:r>
        <w:t>Derived / Intermediate Quantities</w:t>
      </w:r>
      <w:bookmarkEnd w:id="5"/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3E1C23DC" w14:textId="77777777" w:rsidR="00247A90" w:rsidRDefault="00247A9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logits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sup>
        </m:sSub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7736CB">
        <w:t xml:space="preserve"> </w:t>
      </w:r>
      <w:r>
        <w:t xml:space="preserve">– </w:t>
      </w:r>
      <w:r w:rsidR="007736CB">
        <w:t>Logits</w:t>
      </w:r>
      <w:r>
        <w:t xml:space="preserve"> as defined in classical network architectures</w:t>
      </w:r>
    </w:p>
    <w:p w14:paraId="6E0B7AC9" w14:textId="77777777" w:rsidR="00247A90" w:rsidRDefault="00247A90" w:rsidP="00476C29"/>
    <w:p w14:paraId="03925129" w14:textId="77777777" w:rsidR="00247A90" w:rsidRDefault="00247A90" w:rsidP="00247A90">
      <w:pPr>
        <w:pStyle w:val="Heading3"/>
      </w:pPr>
      <w:bookmarkStart w:id="6" w:name="_Toc230812190"/>
      <w:r>
        <w:t>Loss and Training Quantities</w:t>
      </w:r>
      <w:bookmarkEnd w:id="6"/>
    </w:p>
    <w:p w14:paraId="7D259C8A" w14:textId="77777777" w:rsidR="00247A90" w:rsidRDefault="00247A90" w:rsidP="00476C29"/>
    <w:p w14:paraId="578054D8" w14:textId="71F46DB0" w:rsidR="007736CB" w:rsidRDefault="007736CB" w:rsidP="00476C29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NTP</m:t>
            </m:r>
          </m:sub>
        </m:sSub>
      </m:oMath>
      <w:r w:rsidR="00C72117">
        <w:rPr>
          <w:rFonts w:eastAsiaTheme="minorEastAsia"/>
        </w:rPr>
        <w:t xml:space="preserve"> - next token cross entropy loss</w:t>
      </w:r>
      <w:r w:rsidR="00806F83">
        <w:rPr>
          <w:rFonts w:eastAsiaTheme="minorEastAsia"/>
        </w:rPr>
        <w:t xml:space="preserve">. The only training objective in the vanilla SPLM – no auxiliary regularizers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806F83">
        <w:rPr>
          <w:rFonts w:eastAsiaTheme="minorEastAsia"/>
        </w:rPr>
        <w:t xml:space="preserve">,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806F83">
        <w:rPr>
          <w:rFonts w:eastAsiaTheme="minorEastAsia"/>
        </w:rPr>
        <w:t xml:space="preserve">, or </w:t>
      </w:r>
      <m:oMath>
        <m:r>
          <w:rPr>
            <w:rFonts w:ascii="Cambria Math" w:hAnsi="Cambria Math"/>
          </w:rPr>
          <m:t>γ</m:t>
        </m:r>
      </m:oMath>
      <w:r w:rsidR="00806F83">
        <w:rPr>
          <w:rFonts w:eastAsiaTheme="minorEastAsia"/>
        </w:rPr>
        <w:t xml:space="preserve">. In code: </w:t>
      </w:r>
      <w:r w:rsidR="00806F83" w:rsidRPr="00806F83">
        <w:rPr>
          <w:rFonts w:ascii="Consolas" w:eastAsiaTheme="minorEastAsia" w:hAnsi="Consolas" w:cs="Consolas"/>
          <w:color w:val="C00000"/>
          <w:sz w:val="17"/>
          <w:szCs w:val="17"/>
        </w:rPr>
        <w:t>F.cross_entropy(logits, targets)</w:t>
      </w:r>
      <w:r w:rsidR="00806F83">
        <w:rPr>
          <w:rFonts w:eastAsiaTheme="minorEastAsia"/>
        </w:rPr>
        <w:t>.</w:t>
      </w:r>
    </w:p>
    <w:p w14:paraId="0EED0462" w14:textId="77777777" w:rsidR="00806F83" w:rsidRDefault="00806F83" w:rsidP="00476C29">
      <w:pPr>
        <w:rPr>
          <w:rFonts w:eastAsiaTheme="minorEastAsia"/>
        </w:rPr>
      </w:pPr>
    </w:p>
    <w:p w14:paraId="1195454F" w14:textId="0308A8A6" w:rsidR="00806F83" w:rsidRDefault="00806F83" w:rsidP="00476C29">
      <w:pPr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NTP</m:t>
                </m:r>
              </m:sub>
            </m:sSub>
          </m:e>
        </m:func>
      </m:oMath>
      <w:r>
        <w:rPr>
          <w:rFonts w:eastAsiaTheme="minorEastAsia"/>
        </w:rPr>
        <w:t xml:space="preserve"> – The Perplexity (PPL) : it is our primary evaluation metric </w:t>
      </w:r>
    </w:p>
    <w:p w14:paraId="297CD913" w14:textId="77777777" w:rsidR="00806F83" w:rsidRDefault="00806F83" w:rsidP="00476C29">
      <w:pPr>
        <w:rPr>
          <w:rFonts w:eastAsiaTheme="minorEastAsia"/>
        </w:rPr>
      </w:pPr>
    </w:p>
    <w:p w14:paraId="66EC7F14" w14:textId="1D298336" w:rsidR="00806F83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Weight decay – </w:t>
      </w:r>
      <w:r w:rsidRPr="00A02EC6">
        <w:rPr>
          <w:rFonts w:ascii="Consolas" w:eastAsiaTheme="minorEastAsia" w:hAnsi="Consolas" w:cs="Consolas"/>
          <w:sz w:val="17"/>
          <w:szCs w:val="17"/>
        </w:rPr>
        <w:t>AdamW</w:t>
      </w:r>
      <w:r>
        <w:rPr>
          <w:rFonts w:eastAsiaTheme="minorEastAsia"/>
        </w:rPr>
        <w:t xml:space="preserve"> parameter; it is L2 penalty on all parameters,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weight_decay</w:t>
      </w:r>
      <w:r>
        <w:rPr>
          <w:rFonts w:eastAsiaTheme="minorEastAsia"/>
        </w:rPr>
        <w:t xml:space="preserve">. Typical values: </w:t>
      </w:r>
      <m:oMath>
        <m:r>
          <w:rPr>
            <w:rFonts w:ascii="Cambria Math" w:eastAsiaTheme="minorEastAsia" w:hAnsi="Cambria Math"/>
          </w:rPr>
          <m:t>0.01</m:t>
        </m:r>
      </m:oMath>
      <w:r>
        <w:rPr>
          <w:rFonts w:eastAsiaTheme="minorEastAsia"/>
        </w:rPr>
        <w:t xml:space="preserve"> for Shakespeare, </w:t>
      </w:r>
      <m:oMath>
        <m:r>
          <w:rPr>
            <w:rFonts w:ascii="Cambria Math" w:eastAsiaTheme="minorEastAsia" w:hAnsi="Cambria Math"/>
          </w:rPr>
          <m:t>0.0</m:t>
        </m:r>
      </m:oMath>
      <w:r>
        <w:rPr>
          <w:rFonts w:eastAsiaTheme="minorEastAsia"/>
        </w:rPr>
        <w:t xml:space="preserve"> for smoke.</w:t>
      </w:r>
    </w:p>
    <w:p w14:paraId="54649278" w14:textId="77777777" w:rsidR="00A02EC6" w:rsidRDefault="00A02EC6" w:rsidP="00476C29">
      <w:pPr>
        <w:rPr>
          <w:rFonts w:eastAsiaTheme="minorEastAsia"/>
        </w:rPr>
      </w:pPr>
    </w:p>
    <w:p w14:paraId="7CB1D455" w14:textId="6743C88E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Gradient clip – maximum gradient norm,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grad_clip</w:t>
      </w:r>
      <w:r>
        <w:rPr>
          <w:rFonts w:eastAsiaTheme="minorEastAsia"/>
        </w:rPr>
        <w:t xml:space="preserve">,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nn.utils.clip_grad_norm_</w:t>
      </w:r>
      <w:r>
        <w:rPr>
          <w:rFonts w:eastAsiaTheme="minorEastAsia"/>
        </w:rPr>
        <w:t xml:space="preserve">, prevents integrator instability during early training, typical value: </w:t>
      </w:r>
      <m:oMath>
        <m:r>
          <w:rPr>
            <w:rFonts w:ascii="Cambria Math" w:eastAsiaTheme="minorEastAsia" w:hAnsi="Cambria Math"/>
          </w:rPr>
          <m:t>1.0</m:t>
        </m:r>
      </m:oMath>
    </w:p>
    <w:p w14:paraId="24324A72" w14:textId="77777777" w:rsidR="00A02EC6" w:rsidRDefault="00A02EC6" w:rsidP="00476C29">
      <w:pPr>
        <w:rPr>
          <w:rFonts w:eastAsiaTheme="minorEastAsia"/>
        </w:rPr>
      </w:pPr>
    </w:p>
    <w:p w14:paraId="25D3FBB7" w14:textId="1273D7FD" w:rsidR="00A02EC6" w:rsidRDefault="00A02EC6" w:rsidP="00476C29">
      <w:pPr>
        <w:rPr>
          <w:rFonts w:eastAsiaTheme="minorEastAsia"/>
        </w:rPr>
      </w:pPr>
      <w:r>
        <w:rPr>
          <w:rFonts w:eastAsiaTheme="minorEastAsia"/>
        </w:rPr>
        <w:t xml:space="preserve">LR Schedule – cosine annealing with linear warmup. In code: </w:t>
      </w:r>
      <w:r w:rsidRPr="00A02EC6">
        <w:rPr>
          <w:rFonts w:ascii="Consolas" w:eastAsiaTheme="minorEastAsia" w:hAnsi="Consolas" w:cs="Consolas"/>
          <w:color w:val="C00000"/>
          <w:sz w:val="17"/>
          <w:szCs w:val="17"/>
        </w:rPr>
        <w:t>lr_schedule(step, ...)</w:t>
      </w:r>
      <w:r>
        <w:rPr>
          <w:rFonts w:eastAsiaTheme="minorEastAsia"/>
        </w:rPr>
        <w:t xml:space="preserve">. Warmup: </w:t>
      </w:r>
      <m:oMath>
        <m:r>
          <w:rPr>
            <w:rFonts w:ascii="Cambria Math" w:eastAsiaTheme="minorEastAsia" w:hAnsi="Cambria Math"/>
          </w:rPr>
          <m:t>20</m:t>
        </m:r>
      </m:oMath>
      <w:r>
        <w:rPr>
          <w:rFonts w:eastAsiaTheme="minorEastAsia"/>
        </w:rPr>
        <w:t xml:space="preserve"> (smoke) / </w:t>
      </w:r>
      <m:oMath>
        <m:r>
          <w:rPr>
            <w:rFonts w:ascii="Cambria Math" w:eastAsiaTheme="minorEastAsia" w:hAnsi="Cambria Math"/>
          </w:rPr>
          <m:t>200</m:t>
        </m:r>
      </m:oMath>
      <w:r>
        <w:rPr>
          <w:rFonts w:eastAsiaTheme="minorEastAsia"/>
        </w:rPr>
        <w:t xml:space="preserve"> (Shakespeare) steps</w:t>
      </w:r>
    </w:p>
    <w:p w14:paraId="2AE5D40B" w14:textId="77777777" w:rsidR="00806F83" w:rsidRDefault="00806F83" w:rsidP="00476C29">
      <w:pPr>
        <w:rPr>
          <w:rFonts w:eastAsiaTheme="minorEastAsia"/>
        </w:rPr>
      </w:pPr>
    </w:p>
    <w:p w14:paraId="3824C7BC" w14:textId="0AD56A5A" w:rsidR="00A02EC6" w:rsidRDefault="00CC2EB8" w:rsidP="00CC2EB8">
      <w:pPr>
        <w:pStyle w:val="Heading3"/>
        <w:rPr>
          <w:rFonts w:eastAsiaTheme="minorEastAsia"/>
        </w:rPr>
      </w:pPr>
      <w:bookmarkStart w:id="7" w:name="_Toc230812191"/>
      <w:r>
        <w:rPr>
          <w:rFonts w:eastAsiaTheme="minorEastAsia"/>
        </w:rPr>
        <w:t>Oracle-Fit Quantities</w:t>
      </w:r>
      <w:bookmarkEnd w:id="7"/>
      <w:r>
        <w:rPr>
          <w:rFonts w:eastAsiaTheme="minorEastAsia"/>
        </w:rPr>
        <w:t xml:space="preserve"> </w:t>
      </w:r>
    </w:p>
    <w:p w14:paraId="218EE467" w14:textId="77777777" w:rsidR="0007001C" w:rsidRPr="0007001C" w:rsidRDefault="0007001C" w:rsidP="0007001C"/>
    <w:p w14:paraId="7EF3435C" w14:textId="2894EEBA" w:rsidR="00CC2EB8" w:rsidRDefault="0007001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00D1F">
        <w:rPr>
          <w:rFonts w:eastAsiaTheme="minorEastAsia"/>
        </w:rPr>
        <w:t xml:space="preserve"> in the oracle regression: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 xml:space="preserve"> ~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∇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e>
            </m:d>
          </m:e>
        </m:d>
      </m:oMath>
      <w:r w:rsidR="00200D1F">
        <w:rPr>
          <w:rFonts w:eastAsiaTheme="minorEastAsia"/>
        </w:rPr>
        <w:t xml:space="preserve"> </w:t>
      </w:r>
      <w:r w:rsidR="00B73D61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 xml:space="preserve"> :=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B73D61">
        <w:rPr>
          <w:rFonts w:eastAsiaTheme="minorEastAsia"/>
        </w:rPr>
        <w:t xml:space="preserve"> </w:t>
      </w:r>
      <w:r w:rsidR="00200D1F">
        <w:rPr>
          <w:rFonts w:eastAsiaTheme="minorEastAsia"/>
        </w:rPr>
        <w:t xml:space="preserve">. Fitten by closed form least squares. In code: </w:t>
      </w:r>
      <w:r w:rsidR="00200D1F" w:rsidRPr="00200D1F">
        <w:rPr>
          <w:rFonts w:ascii="Consolas" w:eastAsiaTheme="minorEastAsia" w:hAnsi="Consolas" w:cs="Consolas"/>
          <w:color w:val="C00000"/>
          <w:sz w:val="17"/>
          <w:szCs w:val="17"/>
        </w:rPr>
        <w:t>alpha[ell]</w:t>
      </w:r>
      <w:r w:rsidR="00200D1F">
        <w:rPr>
          <w:rFonts w:eastAsiaTheme="minorEastAsia"/>
        </w:rPr>
        <w:t>.</w:t>
      </w:r>
    </w:p>
    <w:p w14:paraId="2B2986E1" w14:textId="77777777" w:rsidR="00200D1F" w:rsidRDefault="00200D1F" w:rsidP="00476C29">
      <w:pPr>
        <w:rPr>
          <w:rFonts w:eastAsiaTheme="minorEastAsia"/>
        </w:rPr>
      </w:pPr>
    </w:p>
    <w:p w14:paraId="655EF004" w14:textId="1A863473" w:rsidR="00200D1F" w:rsidRDefault="00200D1F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per-layer scalar coefficient on</w:t>
      </w:r>
      <w:r>
        <w:rPr>
          <w:rFonts w:eastAsiaTheme="minorEastAsia"/>
        </w:rPr>
        <w:t xml:space="preserve"> the conservative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in the oracle regression. Together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β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 measure how much of the per-layer state change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explained by the model’s own learned potential.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beta[ell]</w:t>
      </w:r>
      <w:r>
        <w:rPr>
          <w:rFonts w:eastAsiaTheme="minorEastAsia"/>
        </w:rPr>
        <w:t>.</w:t>
      </w:r>
    </w:p>
    <w:p w14:paraId="187D9844" w14:textId="77777777" w:rsidR="00200D1F" w:rsidRDefault="00200D1F" w:rsidP="00476C29">
      <w:pPr>
        <w:rPr>
          <w:rFonts w:eastAsiaTheme="minorEastAsia"/>
        </w:rPr>
      </w:pPr>
    </w:p>
    <w:p w14:paraId="37A2F942" w14:textId="52A51AD8" w:rsidR="00200D1F" w:rsidRDefault="00200D1F" w:rsidP="00476C2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– Shared-potential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separator: fraction of variance in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explained by the two-scalar model. Values near 1.0 indicate the dynamics is well-described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; values near 0 indicate the model’s potential does not explain the layer-to-layer transitions.</w:t>
      </w:r>
    </w:p>
    <w:p w14:paraId="5E58EDFE" w14:textId="77777777" w:rsidR="00200D1F" w:rsidRDefault="00200D1F" w:rsidP="00476C29">
      <w:pPr>
        <w:rPr>
          <w:rFonts w:eastAsiaTheme="minorEastAsia"/>
        </w:rPr>
      </w:pPr>
    </w:p>
    <w:p w14:paraId="19118178" w14:textId="656FB52F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– raw hidden-state trajectory extracted from a single sentence, tensor with shape </w:t>
      </w:r>
      <m:oMath>
        <m:r>
          <w:rPr>
            <w:rFonts w:ascii="Cambria Math" w:eastAsiaTheme="minorEastAsia" w:hAnsi="Cambria Math"/>
          </w:rPr>
          <m:t>(L+1, T, d)</m:t>
        </m:r>
      </m:oMath>
      <w:r>
        <w:rPr>
          <w:rFonts w:eastAsiaTheme="minorEastAsia"/>
        </w:rPr>
        <w:t xml:space="preserve">. In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H</w:t>
      </w:r>
      <w:r>
        <w:rPr>
          <w:rFonts w:eastAsiaTheme="minorEastAsia"/>
        </w:rPr>
        <w:t>.</w:t>
      </w:r>
    </w:p>
    <w:p w14:paraId="2E2B0A6F" w14:textId="77777777" w:rsidR="00200D1F" w:rsidRDefault="00200D1F" w:rsidP="00476C29">
      <w:pPr>
        <w:rPr>
          <w:rFonts w:eastAsiaTheme="minorEastAsia"/>
        </w:rPr>
      </w:pPr>
    </w:p>
    <w:p w14:paraId="4DE00B26" w14:textId="412D3136" w:rsidR="00200D1F" w:rsidRDefault="00200D1F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GV</m:t>
        </m:r>
      </m:oMath>
      <w:r>
        <w:rPr>
          <w:rFonts w:eastAsiaTheme="minorEastAsia"/>
        </w:rPr>
        <w:t xml:space="preserve"> – gradient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at each integration step i.e.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>.</w:t>
      </w:r>
      <w:r w:rsidRPr="00200D1F">
        <w:rPr>
          <w:rFonts w:eastAsiaTheme="minorEastAsia"/>
        </w:rPr>
        <w:t xml:space="preserve"> </w:t>
      </w:r>
      <w:r>
        <w:rPr>
          <w:rFonts w:eastAsiaTheme="minorEastAsia"/>
        </w:rPr>
        <w:t xml:space="preserve">tensor with shape </w:t>
      </w:r>
      <m:oMath>
        <m:r>
          <w:rPr>
            <w:rFonts w:ascii="Cambria Math" w:eastAsiaTheme="minorEastAsia" w:hAnsi="Cambria Math"/>
          </w:rPr>
          <m:t>(L, T, d)</m:t>
        </m:r>
      </m:oMath>
      <w:r>
        <w:rPr>
          <w:rFonts w:eastAsiaTheme="minorEastAsia"/>
        </w:rPr>
        <w:t xml:space="preserve">. In code: </w:t>
      </w:r>
      <w:r>
        <w:rPr>
          <w:rFonts w:ascii="Consolas" w:eastAsiaTheme="minorEastAsia" w:hAnsi="Consolas" w:cs="Consolas"/>
          <w:color w:val="C00000"/>
          <w:sz w:val="17"/>
          <w:szCs w:val="17"/>
        </w:rPr>
        <w:t>GV</w:t>
      </w:r>
      <w:r>
        <w:rPr>
          <w:rFonts w:eastAsiaTheme="minorEastAsia"/>
        </w:rPr>
        <w:t>.</w:t>
      </w:r>
    </w:p>
    <w:p w14:paraId="01FF6837" w14:textId="77777777" w:rsidR="00200D1F" w:rsidRDefault="00200D1F" w:rsidP="00476C29">
      <w:pPr>
        <w:rPr>
          <w:rFonts w:eastAsiaTheme="minorEastAsia"/>
        </w:rPr>
      </w:pPr>
    </w:p>
    <w:p w14:paraId="46EA6E04" w14:textId="1E278AEE" w:rsidR="00200D1F" w:rsidRDefault="00200D1F" w:rsidP="00476C29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T×d</m:t>
            </m:r>
          </m:sup>
        </m:sSup>
      </m:oMath>
      <w:r>
        <w:rPr>
          <w:rFonts w:eastAsiaTheme="minorEastAsia"/>
        </w:rPr>
        <w:t xml:space="preserve">   - context vectors used during extraction. Tensor with shape </w:t>
      </w:r>
      <m:oMath>
        <m:r>
          <w:rPr>
            <w:rFonts w:ascii="Cambria Math" w:eastAsiaTheme="minorEastAsia" w:hAnsi="Cambria Math"/>
          </w:rPr>
          <m:t>(T, d)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t xml:space="preserve"> In. code: </w:t>
      </w:r>
      <w:r w:rsidRPr="00200D1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>
        <w:rPr>
          <w:rFonts w:eastAsiaTheme="minorEastAsia"/>
        </w:rPr>
        <w:t>.</w:t>
      </w:r>
    </w:p>
    <w:p w14:paraId="2D079016" w14:textId="77777777" w:rsidR="00CC2EB8" w:rsidRDefault="00CC2EB8" w:rsidP="00476C29">
      <w:pPr>
        <w:rPr>
          <w:rFonts w:eastAsiaTheme="minorEastAsia"/>
        </w:rPr>
      </w:pPr>
    </w:p>
    <w:p w14:paraId="1FC87A59" w14:textId="6A089073" w:rsidR="00E716E4" w:rsidRPr="00E716E4" w:rsidRDefault="00E716E4" w:rsidP="00476C29">
      <w:pPr>
        <w:rPr>
          <w:rFonts w:eastAsiaTheme="minorEastAsia"/>
          <w:u w:val="single"/>
        </w:rPr>
      </w:pPr>
      <w:r w:rsidRPr="00E716E4">
        <w:rPr>
          <w:rFonts w:eastAsiaTheme="minorEastAsia"/>
          <w:u w:val="single"/>
        </w:rPr>
        <w:t>Disambiguation of the context-vector subscript</w:t>
      </w:r>
    </w:p>
    <w:p w14:paraId="72C2A754" w14:textId="71D81A94" w:rsidR="00E716E4" w:rsidRDefault="00E716E4" w:rsidP="00476C29">
      <w:pPr>
        <w:rPr>
          <w:rFonts w:eastAsiaTheme="minorEastAsia"/>
        </w:rPr>
      </w:pPr>
      <w:r>
        <w:rPr>
          <w:rFonts w:eastAsiaTheme="minorEastAsia"/>
        </w:rPr>
        <w:t xml:space="preserve">Throughout the paper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carries a subscript whose meaning depends on which axis is being iterated:</w:t>
      </w:r>
    </w:p>
    <w:p w14:paraId="04323716" w14:textId="77777777" w:rsidR="00E716E4" w:rsidRDefault="00E716E4" w:rsidP="00476C29">
      <w:pPr>
        <w:rPr>
          <w:rFonts w:eastAsiaTheme="minorEastAsia"/>
        </w:rPr>
      </w:pPr>
    </w:p>
    <w:p w14:paraId="353B5180" w14:textId="6534F1E1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context indexed by </w:t>
      </w:r>
      <w:r w:rsidRPr="00E716E4">
        <w:rPr>
          <w:rFonts w:eastAsiaTheme="minorEastAsia"/>
          <w:i/>
          <w:iCs/>
        </w:rPr>
        <w:t>token position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t∈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. This is the natural index when the model processes a fixed layer step by step through the sequence;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K×d</m:t>
            </m:r>
          </m:sup>
        </m:sSup>
      </m:oMath>
      <w:r>
        <w:rPr>
          <w:rFonts w:eastAsiaTheme="minorEastAsia"/>
        </w:rPr>
        <w:t xml:space="preserve"> is the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-channel context summary accumulated up to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4586E696" w14:textId="4869ADC3" w:rsidR="00E716E4" w:rsidRDefault="00E716E4" w:rsidP="00E716E4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– context</w:t>
      </w:r>
      <w:r>
        <w:rPr>
          <w:rFonts w:eastAsiaTheme="minorEastAsia"/>
        </w:rPr>
        <w:t xml:space="preserve"> indexed by layer depth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>
        <w:rPr>
          <w:rFonts w:eastAsiaTheme="minorEastAsia"/>
        </w:rPr>
        <w:t xml:space="preserve">. This is the natural index in the non-autonomous decomposition, where each layer has its own parameter block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and its own context slice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drawn from the prefix; together they generate depth-indexed and context-indexed non-autonomy in attention-based transformers.</w:t>
      </w:r>
    </w:p>
    <w:p w14:paraId="2A8E06BB" w14:textId="2B3E2AF8" w:rsidR="00E716E4" w:rsidRPr="00E716E4" w:rsidRDefault="00E716E4" w:rsidP="00E716E4">
      <w:pPr>
        <w:rPr>
          <w:rFonts w:eastAsiaTheme="minorEastAsia"/>
        </w:rPr>
      </w:pPr>
      <w:r>
        <w:rPr>
          <w:rFonts w:eastAsiaTheme="minorEastAsia"/>
        </w:rPr>
        <w:t xml:space="preserve">In both cases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denotes the same conceptual object – “whatever additional information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receives beyond the hidden state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” – and </w:t>
      </w:r>
      <m:oMath>
        <m:r>
          <m:rPr>
            <m:sty m:val="p"/>
          </m:rP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denotes the space from which it is drawn. The subscript signals only which axis is being varied; no new symbol is introduced.</w:t>
      </w:r>
    </w:p>
    <w:p w14:paraId="29B5578F" w14:textId="77777777" w:rsidR="00E716E4" w:rsidRDefault="00E716E4" w:rsidP="00476C29">
      <w:pPr>
        <w:rPr>
          <w:rFonts w:eastAsiaTheme="minorEastAsia"/>
        </w:rPr>
      </w:pPr>
    </w:p>
    <w:p w14:paraId="18628729" w14:textId="77777777" w:rsidR="00200D1F" w:rsidRDefault="00200D1F" w:rsidP="00476C29">
      <w:pPr>
        <w:rPr>
          <w:rFonts w:eastAsiaTheme="minorEastAsia"/>
        </w:rPr>
      </w:pPr>
    </w:p>
    <w:p w14:paraId="73CEC8CA" w14:textId="1640704B" w:rsidR="00E97035" w:rsidRDefault="00E97035" w:rsidP="00E97035">
      <w:pPr>
        <w:pStyle w:val="Heading3"/>
        <w:rPr>
          <w:rFonts w:eastAsiaTheme="minorEastAsia"/>
        </w:rPr>
      </w:pPr>
      <w:bookmarkStart w:id="8" w:name="_Toc230812192"/>
      <w:r>
        <w:rPr>
          <w:rFonts w:eastAsiaTheme="minorEastAsia"/>
        </w:rPr>
        <w:t>Architectural Principles</w:t>
      </w:r>
      <w:bookmarkEnd w:id="8"/>
    </w:p>
    <w:p w14:paraId="1BA5EC2D" w14:textId="77777777" w:rsidR="00E97035" w:rsidRDefault="00E97035" w:rsidP="00476C29">
      <w:pPr>
        <w:rPr>
          <w:rFonts w:eastAsiaTheme="minorEastAsia"/>
        </w:rPr>
      </w:pPr>
    </w:p>
    <w:p w14:paraId="54B24EBF" w14:textId="77D95891" w:rsidR="009A5EAE" w:rsidRDefault="009A5EAE" w:rsidP="00476C29">
      <w:pPr>
        <w:rPr>
          <w:rFonts w:eastAsiaTheme="minorEastAsia"/>
        </w:rPr>
      </w:pPr>
      <w:r w:rsidRPr="001E1BD7">
        <w:rPr>
          <w:rFonts w:eastAsiaTheme="minorEastAsia"/>
          <w:b/>
          <w:bCs/>
        </w:rPr>
        <w:t>Weight sharing across steps</w:t>
      </w:r>
      <w:r w:rsidR="002160D9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hAnsi="Cambria Math"/>
          </w:rPr>
          <m:t xml:space="preserve">, m, </m:t>
        </m:r>
        <m:r>
          <w:rPr>
            <w:rFonts w:ascii="Cambria Math" w:hAnsi="Cambria Math"/>
          </w:rPr>
          <m:t>γ</m:t>
        </m:r>
      </m:oMath>
      <w:r w:rsidR="001E1BD7">
        <w:rPr>
          <w:rFonts w:eastAsiaTheme="minorEastAsia"/>
        </w:rPr>
        <w:t xml:space="preserve"> are the same at every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1,…,L</m:t>
            </m:r>
          </m:e>
        </m:d>
      </m:oMath>
      <w:r w:rsidR="001E1BD7">
        <w:rPr>
          <w:rFonts w:eastAsiaTheme="minorEastAsia"/>
        </w:rPr>
        <w:t xml:space="preserve">. This is what makes the architecture “conservative by construction” – the force law is  a single shared scalar potential, not </w:t>
      </w:r>
      <m:oMath>
        <m:r>
          <w:rPr>
            <w:rFonts w:ascii="Cambria Math" w:eastAsiaTheme="minorEastAsia" w:hAnsi="Cambria Math"/>
          </w:rPr>
          <m:t>L</m:t>
        </m:r>
      </m:oMath>
      <w:r w:rsidR="001E1BD7">
        <w:rPr>
          <w:rFonts w:eastAsiaTheme="minorEastAsia"/>
        </w:rPr>
        <w:t xml:space="preserve"> different networks. </w:t>
      </w:r>
    </w:p>
    <w:p w14:paraId="42F95566" w14:textId="77777777" w:rsidR="009A5EAE" w:rsidRDefault="009A5EAE" w:rsidP="00476C29">
      <w:pPr>
        <w:rPr>
          <w:rFonts w:eastAsiaTheme="minorEastAsia"/>
        </w:rPr>
      </w:pPr>
    </w:p>
    <w:p w14:paraId="35E41AC5" w14:textId="3F3E6B8E" w:rsidR="009A5EAE" w:rsidRDefault="009A5EAE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Asymmetric role of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</w:t>
      </w:r>
      <w:r w:rsidR="002160D9" w:rsidRPr="002160D9">
        <w:rPr>
          <w:rFonts w:eastAsiaTheme="minorEastAsia"/>
          <w:b/>
          <w:bCs/>
        </w:rPr>
        <w:t>vs</w:t>
      </w:r>
      <w:r w:rsidR="002160D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h</m:t>
            </m:r>
          </m:e>
        </m:d>
      </m:oMath>
      <w:r w:rsidR="002160D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ξ</m:t>
        </m:r>
      </m:oMath>
      <w:r w:rsidR="002160D9">
        <w:rPr>
          <w:rFonts w:eastAsiaTheme="minorEastAsia"/>
        </w:rPr>
        <w:t xml:space="preserve"> is a frozen conditional variable (detached from the graph in the SARF variant) while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 is the differentiation variable. The force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=-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2160D9">
        <w:rPr>
          <w:rFonts w:eastAsiaTheme="minorEastAsia"/>
        </w:rPr>
        <w:t xml:space="preserve"> is taken only w.r.t.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. This makes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 xml:space="preserve">  </m:t>
            </m:r>
            <m:r>
              <w:rPr>
                <w:rFonts w:ascii="Cambria Math" w:eastAsiaTheme="minorEastAsia" w:hAnsi="Cambria Math"/>
              </w:rPr>
              <m:t xml:space="preserve">∙ </m:t>
            </m:r>
          </m:e>
        </m:d>
      </m:oMath>
      <w:r w:rsidR="002160D9">
        <w:rPr>
          <w:rFonts w:eastAsiaTheme="minorEastAsia"/>
        </w:rPr>
        <w:t xml:space="preserve"> a genuine scalar potential in </w:t>
      </w:r>
      <m:oMath>
        <m:r>
          <w:rPr>
            <w:rFonts w:ascii="Cambria Math" w:eastAsiaTheme="minorEastAsia" w:hAnsi="Cambria Math"/>
          </w:rPr>
          <m:t>h</m:t>
        </m:r>
      </m:oMath>
      <w:r w:rsidR="002160D9">
        <w:rPr>
          <w:rFonts w:eastAsiaTheme="minorEastAsia"/>
        </w:rPr>
        <w:t xml:space="preserve">-space for fixed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2160D9">
        <w:rPr>
          <w:rFonts w:eastAsiaTheme="minorEastAsia"/>
        </w:rPr>
        <w:t>.</w:t>
      </w:r>
    </w:p>
    <w:p w14:paraId="1B419210" w14:textId="77777777" w:rsidR="002160D9" w:rsidRDefault="002160D9" w:rsidP="00476C29">
      <w:pPr>
        <w:rPr>
          <w:rFonts w:eastAsiaTheme="minorEastAsia"/>
        </w:rPr>
      </w:pPr>
    </w:p>
    <w:p w14:paraId="6CB1C6FB" w14:textId="004F7BA3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Causal force fix</w:t>
      </w:r>
      <w:r>
        <w:rPr>
          <w:rFonts w:eastAsiaTheme="minorEastAsia"/>
        </w:rPr>
        <w:t xml:space="preserve"> (</w:t>
      </w:r>
      <w:r w:rsidRPr="002160D9">
        <w:rPr>
          <w:rFonts w:ascii="Consolas" w:eastAsiaTheme="minorEastAsia" w:hAnsi="Consolas" w:cs="Consolas"/>
          <w:sz w:val="17"/>
          <w:szCs w:val="17"/>
        </w:rPr>
        <w:t>causal_force = True</w:t>
      </w:r>
      <w:r>
        <w:rPr>
          <w:rFonts w:eastAsiaTheme="minorEastAsia"/>
        </w:rPr>
        <w:t xml:space="preserve">). In the SARF variant,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is computed from </w:t>
      </w:r>
      <w:r w:rsidRPr="002160D9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to sever the autograd path from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back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eliminating an anti-causal gradient leak where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∂V(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∂h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den>
        </m:f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for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&gt;t</m:t>
        </m:r>
      </m:oMath>
      <w:r>
        <w:rPr>
          <w:rFonts w:eastAsiaTheme="minorEastAsia"/>
        </w:rPr>
        <w:t>.</w:t>
      </w:r>
    </w:p>
    <w:p w14:paraId="4B40E981" w14:textId="77777777" w:rsidR="00FB7213" w:rsidRDefault="00FB7213" w:rsidP="00476C29">
      <w:pPr>
        <w:rPr>
          <w:rFonts w:eastAsiaTheme="minorEastAsia"/>
        </w:rPr>
      </w:pPr>
    </w:p>
    <w:p w14:paraId="7485B751" w14:textId="3D895BE9" w:rsidR="00FB7213" w:rsidRDefault="00FB7213" w:rsidP="00476C29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ξ</m:t>
        </m:r>
      </m:oMath>
      <w:r w:rsidRPr="00FB7213">
        <w:rPr>
          <w:rFonts w:eastAsiaTheme="minorEastAsia"/>
          <w:b/>
          <w:bCs/>
        </w:rPr>
        <w:t xml:space="preserve"> as a frozen conditioning variable</w:t>
      </w:r>
      <w:r>
        <w:rPr>
          <w:rFonts w:eastAsiaTheme="minorEastAsia"/>
        </w:rPr>
        <w:t xml:space="preserve">. The conservative force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den>
        </m:f>
      </m:oMath>
      <w:r>
        <w:rPr>
          <w:rFonts w:eastAsiaTheme="minorEastAsia"/>
        </w:rPr>
        <w:t xml:space="preserve"> is the partial derivative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at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  <w:r w:rsidR="00DB0ED1">
        <w:rPr>
          <w:rFonts w:eastAsiaTheme="minorEastAsia"/>
        </w:rPr>
        <w:t xml:space="preserve"> This is what makes the force curl-free: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E46512">
        <w:rPr>
          <w:rFonts w:eastAsiaTheme="minorEastAsia"/>
        </w:rPr>
        <w:t xml:space="preserve"> is a genuine scalar potential landscape in </w:t>
      </w:r>
      <m:oMath>
        <m:r>
          <w:rPr>
            <w:rFonts w:ascii="Cambria Math" w:eastAsiaTheme="minorEastAsia" w:hAnsi="Cambria Math"/>
          </w:rPr>
          <m:t>h</m:t>
        </m:r>
      </m:oMath>
      <w:r w:rsidR="00E46512">
        <w:rPr>
          <w:rFonts w:eastAsiaTheme="minorEastAsia"/>
        </w:rPr>
        <w:t xml:space="preserve">-space for each fixed </w:t>
      </w:r>
      <m:oMath>
        <m:r>
          <w:rPr>
            <w:rFonts w:ascii="Cambria Math" w:eastAsiaTheme="minorEastAsia" w:hAnsi="Cambria Math"/>
          </w:rPr>
          <m:t>ξ</m:t>
        </m:r>
      </m:oMath>
      <w:r w:rsidR="00E46512">
        <w:rPr>
          <w:rFonts w:eastAsiaTheme="minorEastAsia"/>
        </w:rPr>
        <w:t xml:space="preserve"> – different tokens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,∙</m:t>
            </m:r>
          </m:e>
        </m:d>
      </m:oMath>
      <w:r w:rsidR="00E46512">
        <w:rPr>
          <w:rFonts w:eastAsiaTheme="minorEastAsia"/>
        </w:rPr>
        <w:t xml:space="preserve">. In the base model, this is automatic: </w:t>
      </w:r>
      <m:oMath>
        <m:r>
          <w:rPr>
            <w:rFonts w:ascii="Cambria Math" w:eastAsiaTheme="minorEastAsia" w:hAnsi="Cambria Math"/>
          </w:rPr>
          <m:t>ξ</m:t>
        </m:r>
      </m:oMath>
      <w:r w:rsidR="00E46512">
        <w:rPr>
          <w:rFonts w:eastAsiaTheme="minorEastAsia"/>
        </w:rPr>
        <w:t xml:space="preserve"> is computed once from the initial embedding before the integration loop stars. In the SARF variant, </w:t>
      </w:r>
      <m:oMath>
        <m:r>
          <w:rPr>
            <w:rFonts w:ascii="Cambria Math" w:eastAsiaTheme="minorEastAsia" w:hAnsi="Cambria Math"/>
          </w:rPr>
          <m:t>ξ</m:t>
        </m:r>
      </m:oMath>
      <w:r w:rsidR="00E46512">
        <w:rPr>
          <w:rFonts w:eastAsiaTheme="minorEastAsia"/>
        </w:rPr>
        <w:t xml:space="preserve"> is re-pooled at every step from h.detach(), enforcing the same invariant dynamically. The </w:t>
      </w:r>
      <w:r w:rsidR="00E46512" w:rsidRPr="00E46512">
        <w:rPr>
          <w:rFonts w:ascii="Consolas" w:eastAsiaTheme="minorEastAsia" w:hAnsi="Consolas" w:cs="Consolas"/>
          <w:color w:val="C00000"/>
          <w:sz w:val="17"/>
          <w:szCs w:val="17"/>
        </w:rPr>
        <w:t>causal_force=True</w:t>
      </w:r>
      <w:r w:rsidR="00E46512">
        <w:rPr>
          <w:rFonts w:eastAsiaTheme="minorEastAsia"/>
        </w:rPr>
        <w:t xml:space="preserve"> config flag is the implementation switch that guarantees this. </w:t>
      </w:r>
    </w:p>
    <w:p w14:paraId="6B31A803" w14:textId="77777777" w:rsidR="00FB7213" w:rsidRDefault="00FB7213" w:rsidP="00476C29">
      <w:pPr>
        <w:rPr>
          <w:rFonts w:eastAsiaTheme="minorEastAsia"/>
        </w:rPr>
      </w:pPr>
    </w:p>
    <w:p w14:paraId="5631B133" w14:textId="542D444C" w:rsidR="002160D9" w:rsidRDefault="002160D9" w:rsidP="00476C29">
      <w:pPr>
        <w:rPr>
          <w:rFonts w:eastAsiaTheme="minorEastAsia"/>
        </w:rPr>
      </w:pPr>
      <w:r w:rsidRPr="002160D9">
        <w:rPr>
          <w:rFonts w:eastAsiaTheme="minorEastAsia"/>
          <w:b/>
          <w:bCs/>
        </w:rPr>
        <w:t>Tied embeddings</w:t>
      </w:r>
      <w:r>
        <w:rPr>
          <w:rFonts w:eastAsiaTheme="minorEastAsia"/>
        </w:rPr>
        <w:t xml:space="preserve">. The same matrix </w:t>
      </w:r>
      <m:oMath>
        <m:r>
          <w:rPr>
            <w:rFonts w:ascii="Cambria Math" w:eastAsiaTheme="minorEastAsia" w:hAnsi="Cambria Math"/>
          </w:rPr>
          <m:t>E</m:t>
        </m:r>
      </m:oMath>
      <w:r>
        <w:rPr>
          <w:rFonts w:eastAsiaTheme="minorEastAsia"/>
        </w:rPr>
        <w:t xml:space="preserve"> is used for both input embedding and the output projection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>, reducing parameter count and coupling the input/output representations.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</w:t>
      </w:r>
      <w:r w:rsidR="00CA2FD8">
        <w:rPr>
          <w:rFonts w:eastAsiaTheme="minorEastAsia"/>
        </w:rPr>
        <w:lastRenderedPageBreak/>
        <w:t xml:space="preserve">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9" w:name="_Toc230812193"/>
      <w:r w:rsidRPr="00906E37">
        <w:rPr>
          <w:rFonts w:eastAsiaTheme="minorEastAsia"/>
        </w:rPr>
        <w:t>A Note on the oracle fit</w:t>
      </w:r>
      <w:bookmarkEnd w:id="9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332962AB" w14:textId="20097A2A" w:rsidR="00093B95" w:rsidRDefault="0011243C" w:rsidP="00093B95">
      <w:r>
        <w:t xml:space="preserve">Two observations from </w:t>
      </w:r>
      <w:r w:rsidRPr="0011243C">
        <w:rPr>
          <w:rFonts w:ascii="Consolas" w:hAnsi="Consolas" w:cs="Consolas"/>
          <w:color w:val="C00000"/>
          <w:sz w:val="17"/>
          <w:szCs w:val="17"/>
        </w:rPr>
        <w:t>extract_oracle_tuples</w:t>
      </w:r>
      <w:r>
        <w:t xml:space="preserve"> (shown in the Appendix):</w:t>
      </w:r>
    </w:p>
    <w:p w14:paraId="733CC050" w14:textId="73D8268C" w:rsidR="0011243C" w:rsidRDefault="00BE6E45" w:rsidP="00093B95">
      <w:r>
        <w:t xml:space="preserve"> The gradient regressor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(</w:t>
      </w:r>
      <w:r w:rsidRPr="00B73D61">
        <w:rPr>
          <w:rFonts w:ascii="Consolas" w:eastAsiaTheme="minorEastAsia" w:hAnsi="Consolas" w:cs="Consolas"/>
          <w:color w:val="C00000"/>
          <w:sz w:val="17"/>
          <w:szCs w:val="17"/>
        </w:rPr>
        <w:t>GV[l]</w:t>
      </w:r>
      <w:r>
        <w:rPr>
          <w:rFonts w:eastAsiaTheme="minorEastAsia"/>
        </w:rPr>
        <w:t xml:space="preserve"> in the code)</w:t>
      </w:r>
    </w:p>
    <w:p w14:paraId="3D904700" w14:textId="77777777" w:rsidR="0011243C" w:rsidRDefault="0011243C" w:rsidP="00093B95"/>
    <w:p w14:paraId="00A12818" w14:textId="77777777" w:rsidR="00093B95" w:rsidRPr="00093B95" w:rsidRDefault="00093B95" w:rsidP="00093B95"/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10" w:name="_Toc23081219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10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11" w:name="_Toc230812195"/>
      <w:r>
        <w:t>References</w:t>
      </w:r>
      <w:bookmarkEnd w:id="11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12" w:name="_Toc230812196"/>
      <w:r>
        <w:t>Appendix</w:t>
      </w:r>
      <w:bookmarkEnd w:id="12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13" w:name="_Toc230812197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13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4" w:name="_Toc23081219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4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5" w:name="_Toc23081219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5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6" w:name="_Toc230812200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6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7" w:name="_Toc230812201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7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8" w:name="_Toc230812202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8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9" w:name="_Toc230812203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9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20" w:name="_Toc230812204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20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21" w:name="_Toc230812205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21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22" w:name="_Toc230812206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22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23" w:name="_Toc230812207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23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4" w:name="_Toc230812208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4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5" w:name="_Toc230812209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5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63C27" w14:textId="77777777" w:rsidR="00CD6E7A" w:rsidRDefault="00CD6E7A" w:rsidP="00F6314E">
      <w:pPr>
        <w:spacing w:line="240" w:lineRule="auto"/>
      </w:pPr>
      <w:r>
        <w:separator/>
      </w:r>
    </w:p>
  </w:endnote>
  <w:endnote w:type="continuationSeparator" w:id="0">
    <w:p w14:paraId="07EEAC9C" w14:textId="77777777" w:rsidR="00CD6E7A" w:rsidRDefault="00CD6E7A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4A68C" w14:textId="77777777" w:rsidR="00CD6E7A" w:rsidRDefault="00CD6E7A" w:rsidP="00F6314E">
      <w:pPr>
        <w:spacing w:line="240" w:lineRule="auto"/>
      </w:pPr>
      <w:r>
        <w:separator/>
      </w:r>
    </w:p>
  </w:footnote>
  <w:footnote w:type="continuationSeparator" w:id="0">
    <w:p w14:paraId="502CAAAB" w14:textId="77777777" w:rsidR="00CD6E7A" w:rsidRDefault="00CD6E7A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87"/>
    <w:multiLevelType w:val="hybridMultilevel"/>
    <w:tmpl w:val="AD145DE4"/>
    <w:lvl w:ilvl="0" w:tplc="C8A88FD6">
      <w:start w:val="1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53F70"/>
    <w:multiLevelType w:val="hybridMultilevel"/>
    <w:tmpl w:val="B4C2F704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2"/>
  </w:num>
  <w:num w:numId="2" w16cid:durableId="293023387">
    <w:abstractNumId w:val="1"/>
  </w:num>
  <w:num w:numId="3" w16cid:durableId="401827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7001C"/>
    <w:rsid w:val="0008005F"/>
    <w:rsid w:val="00093B95"/>
    <w:rsid w:val="000D398A"/>
    <w:rsid w:val="00100B73"/>
    <w:rsid w:val="0011243C"/>
    <w:rsid w:val="001135C0"/>
    <w:rsid w:val="00121E31"/>
    <w:rsid w:val="00157E17"/>
    <w:rsid w:val="00160BF9"/>
    <w:rsid w:val="00193E45"/>
    <w:rsid w:val="001B4749"/>
    <w:rsid w:val="001D1496"/>
    <w:rsid w:val="001E1BD7"/>
    <w:rsid w:val="001F5C45"/>
    <w:rsid w:val="00200D1F"/>
    <w:rsid w:val="002160D9"/>
    <w:rsid w:val="00222AA8"/>
    <w:rsid w:val="00247A90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6F8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03D4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5EAE"/>
    <w:rsid w:val="009A73E7"/>
    <w:rsid w:val="009C53B3"/>
    <w:rsid w:val="009E4EFF"/>
    <w:rsid w:val="009F0FB0"/>
    <w:rsid w:val="00A02EC6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3D61"/>
    <w:rsid w:val="00B7672E"/>
    <w:rsid w:val="00B90FD5"/>
    <w:rsid w:val="00B953E8"/>
    <w:rsid w:val="00BC297B"/>
    <w:rsid w:val="00BD2283"/>
    <w:rsid w:val="00BD3056"/>
    <w:rsid w:val="00BE6E45"/>
    <w:rsid w:val="00C052A6"/>
    <w:rsid w:val="00C203FC"/>
    <w:rsid w:val="00C572EB"/>
    <w:rsid w:val="00C652B4"/>
    <w:rsid w:val="00C72117"/>
    <w:rsid w:val="00C86FD9"/>
    <w:rsid w:val="00C923FE"/>
    <w:rsid w:val="00C97183"/>
    <w:rsid w:val="00CA2900"/>
    <w:rsid w:val="00CA2FD8"/>
    <w:rsid w:val="00CC256D"/>
    <w:rsid w:val="00CC2EB8"/>
    <w:rsid w:val="00CD6E7A"/>
    <w:rsid w:val="00D01904"/>
    <w:rsid w:val="00D15BF8"/>
    <w:rsid w:val="00D510E5"/>
    <w:rsid w:val="00D63637"/>
    <w:rsid w:val="00D853C5"/>
    <w:rsid w:val="00DB0ED1"/>
    <w:rsid w:val="00DB27A8"/>
    <w:rsid w:val="00DF69D6"/>
    <w:rsid w:val="00E035C3"/>
    <w:rsid w:val="00E464D4"/>
    <w:rsid w:val="00E46512"/>
    <w:rsid w:val="00E548AF"/>
    <w:rsid w:val="00E716E4"/>
    <w:rsid w:val="00E74940"/>
    <w:rsid w:val="00E75A2A"/>
    <w:rsid w:val="00E875BE"/>
    <w:rsid w:val="00E97035"/>
    <w:rsid w:val="00EA03EC"/>
    <w:rsid w:val="00EC0ADA"/>
    <w:rsid w:val="00EC5662"/>
    <w:rsid w:val="00EC5BB4"/>
    <w:rsid w:val="00F05F79"/>
    <w:rsid w:val="00F54E4E"/>
    <w:rsid w:val="00F6252C"/>
    <w:rsid w:val="00F6314E"/>
    <w:rsid w:val="00FB7213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  <w:style w:type="character" w:styleId="Emphasis">
    <w:name w:val="Emphasis"/>
    <w:basedOn w:val="DefaultParagraphFont"/>
    <w:uiPriority w:val="20"/>
    <w:qFormat/>
    <w:rsid w:val="00FB7213"/>
    <w:rPr>
      <w:i/>
      <w:iCs/>
    </w:rPr>
  </w:style>
  <w:style w:type="character" w:customStyle="1" w:styleId="font-semibold">
    <w:name w:val="font-semibold"/>
    <w:basedOn w:val="DefaultParagraphFont"/>
    <w:rsid w:val="00FB72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1747E8-5EA2-D54D-B710-87072CD97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20</Pages>
  <Words>6631</Words>
  <Characters>37799</Characters>
  <Application>Microsoft Office Word</Application>
  <DocSecurity>0</DocSecurity>
  <Lines>314</Lines>
  <Paragraphs>88</Paragraphs>
  <ScaleCrop>false</ScaleCrop>
  <Company/>
  <LinksUpToDate>false</LinksUpToDate>
  <CharactersWithSpaces>44342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cp:lastPrinted>2026-05-28T02:10:00Z</cp:lastPrinted>
  <dcterms:created xsi:type="dcterms:W3CDTF">2026-05-28T14:33:00Z</dcterms:created>
  <dcterms:modified xsi:type="dcterms:W3CDTF">2026-05-29T10:16:00Z</dcterms:modified>
</cp:coreProperties>
</file>