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11"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12" w:history="1">
        <w:r w:rsidR="008314CD" w:rsidRPr="00866301">
          <w:rPr>
            <w:rStyle w:val="Hyperlink"/>
          </w:rPr>
          <w:t>PARF-Augmented SPLM: A Framework-Native Routing Architecture</w:t>
        </w:r>
      </w:hyperlink>
      <w:r w:rsidR="008314CD">
        <w:t xml:space="preserve">, companion note to </w:t>
      </w:r>
      <w:hyperlink r:id="rId13" w:history="1">
        <w:r w:rsidR="008314CD" w:rsidRPr="00866301">
          <w:rPr>
            <w:rStyle w:val="Hyperlink"/>
          </w:rPr>
          <w:t>[1]</w:t>
        </w:r>
      </w:hyperlink>
    </w:p>
    <w:p w14:paraId="2BA26E25" w14:textId="2BFC6FE8" w:rsidR="001D4198" w:rsidRDefault="001D4198">
      <w:r>
        <w:t>[3]</w:t>
      </w:r>
      <w:r w:rsidR="00866301">
        <w:t xml:space="preserve"> </w:t>
      </w:r>
      <w:hyperlink r:id="rId14" w:history="1">
        <w:r w:rsidR="00866301" w:rsidRPr="007D43CC">
          <w:rPr>
            <w:rStyle w:val="Hyperlink"/>
          </w:rPr>
          <w:t>On the MLP Layer Modeling the Pairwise Potential</w:t>
        </w:r>
      </w:hyperlink>
      <w:r w:rsidR="00866301">
        <w:t xml:space="preserve">, companion note to  </w:t>
      </w:r>
      <w:hyperlink r:id="rId15" w:history="1">
        <w:r w:rsidR="00866301" w:rsidRPr="00866301">
          <w:rPr>
            <w:rStyle w:val="Hyperlink"/>
          </w:rPr>
          <w:t>[1]</w:t>
        </w:r>
      </w:hyperlink>
    </w:p>
    <w:p w14:paraId="4CE38274" w14:textId="6762359C" w:rsidR="001D4198" w:rsidRDefault="001D4198">
      <w:r>
        <w:t>[4]</w:t>
      </w:r>
      <w:r w:rsidR="007D43CC">
        <w:t xml:space="preserve"> </w:t>
      </w:r>
      <w:hyperlink r:id="rId16"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7" w:history="1">
        <w:r w:rsidR="00106A60" w:rsidRPr="00866301">
          <w:rPr>
            <w:rStyle w:val="Hyperlink"/>
          </w:rPr>
          <w:t>[1]</w:t>
        </w:r>
      </w:hyperlink>
    </w:p>
    <w:p w14:paraId="289C6930" w14:textId="148F7DB0" w:rsidR="0055788C" w:rsidRDefault="008A0D47">
      <w:r>
        <w:t xml:space="preserve">[5] </w:t>
      </w:r>
      <w:hyperlink r:id="rId18" w:history="1">
        <w:r w:rsidRPr="008A0D47">
          <w:rPr>
            <w:rStyle w:val="Hyperlink"/>
          </w:rPr>
          <w:t>Fisher-Tippett-Gnedenko theorem, Wikipedia</w:t>
        </w:r>
      </w:hyperlink>
    </w:p>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5E268B96" w:rsidR="00F3450D" w:rsidRPr="00DC4F70" w:rsidRDefault="00F3450D" w:rsidP="002F358D">
      <w:r w:rsidRPr="009474EF">
        <w:rPr>
          <w:u w:val="single"/>
        </w:rPr>
        <w:t>Cumulative Distribution Function (CDF)</w:t>
      </w:r>
      <w:r w:rsidR="00B416B2">
        <w:t>:</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sidRPr="009474EF">
        <w:rPr>
          <w:rFonts w:eastAsiaTheme="minorEastAsia"/>
          <w:u w:val="single"/>
        </w:rPr>
        <w:t>Probability Density Function (PDF)</w:t>
      </w:r>
      <w:r>
        <w:rPr>
          <w:rFonts w:eastAsiaTheme="minorEastAsia"/>
        </w:rPr>
        <w:t>:</w:t>
      </w:r>
    </w:p>
    <w:p w14:paraId="0911D6E2" w14:textId="369E5817" w:rsidR="00DC4F70" w:rsidRDefault="00DC4F70" w:rsidP="002F358D">
      <w:pPr>
        <w:rPr>
          <w:rFonts w:eastAsiaTheme="minorEastAsia"/>
        </w:rPr>
      </w:pPr>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β</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μ</m:t>
                        </m:r>
                      </m:num>
                      <m:den>
                        <m:r>
                          <w:rPr>
                            <w:rFonts w:ascii="Cambria Math" w:eastAsiaTheme="minorEastAsia" w:hAnsi="Cambria Math"/>
                          </w:rPr>
                          <m:t>β</m:t>
                        </m:r>
                      </m:den>
                    </m:f>
                  </m:sup>
                </m:sSup>
              </m:e>
            </m:d>
          </m:e>
        </m:func>
      </m:oMath>
      <w:r w:rsidR="00B416B2">
        <w:rPr>
          <w:rFonts w:eastAsiaTheme="minorEastAsia"/>
        </w:rPr>
        <w:t xml:space="preserve"> </w:t>
      </w:r>
    </w:p>
    <w:p w14:paraId="4C090A0B" w14:textId="77777777" w:rsidR="00B416B2" w:rsidRDefault="00B416B2" w:rsidP="002F358D">
      <w:pPr>
        <w:rPr>
          <w:rFonts w:eastAsiaTheme="minorEastAsia"/>
        </w:rPr>
      </w:pPr>
    </w:p>
    <w:p w14:paraId="6CA05695" w14:textId="6F3559BC" w:rsidR="00B416B2" w:rsidRPr="009474EF" w:rsidRDefault="00B416B2" w:rsidP="002F358D">
      <w:pPr>
        <w:rPr>
          <w:u w:val="single"/>
        </w:rPr>
      </w:pPr>
      <w:r w:rsidRPr="009474EF">
        <w:rPr>
          <w:u w:val="single"/>
        </w:rPr>
        <w:t>Statistical properties:</w:t>
      </w:r>
    </w:p>
    <w:p w14:paraId="30181E8B" w14:textId="0FAE7AE4" w:rsidR="00B416B2" w:rsidRDefault="009474EF" w:rsidP="002F358D">
      <w:r w:rsidRPr="009474EF">
        <w:rPr>
          <w:b/>
          <w:bCs/>
        </w:rPr>
        <w:t>Mean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=μ+βγ</m:t>
        </m:r>
      </m:oMath>
      <w:r>
        <w:rPr>
          <w:rFonts w:eastAsiaTheme="minorEastAsia"/>
        </w:rPr>
        <w:t xml:space="preserve"> where </w:t>
      </w:r>
      <m:oMath>
        <m:r>
          <w:rPr>
            <w:rFonts w:ascii="Cambria Math" w:hAnsi="Cambria Math"/>
          </w:rPr>
          <m:t>γ</m:t>
        </m:r>
        <m:r>
          <w:rPr>
            <w:rFonts w:ascii="Cambria Math" w:hAnsi="Cambria Math"/>
          </w:rPr>
          <m:t>≈0.5772</m:t>
        </m:r>
      </m:oMath>
      <w:r>
        <w:rPr>
          <w:rFonts w:eastAsiaTheme="minorEastAsia"/>
        </w:rPr>
        <w:t xml:space="preserve"> is the </w:t>
      </w:r>
      <w:hyperlink r:id="rId19" w:history="1">
        <w:r w:rsidRPr="009474EF">
          <w:rPr>
            <w:rStyle w:val="Hyperlink"/>
            <w:rFonts w:eastAsiaTheme="minorEastAsia"/>
          </w:rPr>
          <w:t>Euler-Mascheroni constant</w:t>
        </w:r>
      </w:hyperlink>
      <w:r>
        <w:rPr>
          <w:rFonts w:eastAsiaTheme="minorEastAsia"/>
        </w:rPr>
        <w:t xml:space="preserve">. </w:t>
      </w:r>
    </w:p>
    <w:p w14:paraId="4DD2D853" w14:textId="6E5DBC6C" w:rsidR="00B416B2" w:rsidRDefault="009474EF" w:rsidP="002F358D">
      <w:r w:rsidRPr="009474EF">
        <w:rPr>
          <w:b/>
          <w:bCs/>
        </w:rPr>
        <w:t>Median</w:t>
      </w:r>
      <w:r>
        <w:t xml:space="preserve">: </w:t>
      </w:r>
      <m:oMath>
        <m:r>
          <w:rPr>
            <w:rFonts w:ascii="Cambria Math" w:hAnsi="Cambria Math"/>
          </w:rPr>
          <m:t>μ</m:t>
        </m:r>
        <m:r>
          <w:rPr>
            <w:rFonts w:ascii="Cambria Math" w:hAnsi="Cambria Math"/>
          </w:rPr>
          <m:t>-</m:t>
        </m:r>
        <m:r>
          <w:rPr>
            <w:rFonts w:ascii="Cambria Math" w:hAnsi="Cambria Math"/>
          </w:rPr>
          <m:t>β</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≈μ+0.3665β</m:t>
            </m:r>
          </m:e>
        </m:func>
      </m:oMath>
    </w:p>
    <w:p w14:paraId="40AC458F" w14:textId="26983912" w:rsidR="00F3450D" w:rsidRDefault="009474EF" w:rsidP="002F358D">
      <w:r w:rsidRPr="009474EF">
        <w:rPr>
          <w:b/>
          <w:bCs/>
        </w:rPr>
        <w:t>Mode</w:t>
      </w:r>
      <w:r>
        <w:t xml:space="preserve">: exactly at the location parameter </w:t>
      </w:r>
      <m:oMath>
        <m:r>
          <w:rPr>
            <w:rFonts w:ascii="Cambria Math" w:hAnsi="Cambria Math"/>
          </w:rPr>
          <m:t>μ</m:t>
        </m:r>
      </m:oMath>
    </w:p>
    <w:p w14:paraId="649E3CE7" w14:textId="1A6C609D" w:rsidR="009474EF" w:rsidRDefault="009474EF" w:rsidP="002F358D">
      <w:pPr>
        <w:rPr>
          <w:rFonts w:eastAsiaTheme="minorEastAsia"/>
        </w:rPr>
      </w:pPr>
      <w:r w:rsidRPr="009474EF">
        <w:rPr>
          <w:b/>
          <w:bCs/>
        </w:rPr>
        <w:t>Variance</w:t>
      </w:r>
      <w:r>
        <w:t xml:space="preserve">: </w:t>
      </w:r>
      <m:oMath>
        <m:r>
          <m:rPr>
            <m:sty m:val="p"/>
          </m:rP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sSup>
          <m:sSupPr>
            <m:ctrlPr>
              <w:rPr>
                <w:rFonts w:ascii="Cambria Math" w:hAnsi="Cambria Math"/>
                <w:i/>
              </w:rPr>
            </m:ctrlPr>
          </m:sSupPr>
          <m:e>
            <m:r>
              <w:rPr>
                <w:rFonts w:ascii="Cambria Math" w:hAnsi="Cambria Math"/>
              </w:rPr>
              <m:t>β</m:t>
            </m:r>
          </m:e>
          <m:sup>
            <m:r>
              <w:rPr>
                <w:rFonts w:ascii="Cambria Math" w:hAnsi="Cambria Math"/>
              </w:rPr>
              <m:t>2</m:t>
            </m:r>
          </m:sup>
        </m:sSup>
      </m:oMath>
    </w:p>
    <w:p w14:paraId="39A92797" w14:textId="77777777" w:rsidR="00F351F2" w:rsidRDefault="00F351F2" w:rsidP="002F358D">
      <w:pPr>
        <w:rPr>
          <w:rFonts w:eastAsiaTheme="minorEastAsia"/>
        </w:rPr>
      </w:pPr>
    </w:p>
    <w:p w14:paraId="7B4E7481" w14:textId="6C639196" w:rsidR="00F351F2" w:rsidRPr="005A23A6" w:rsidRDefault="00F351F2" w:rsidP="002F358D">
      <w:pPr>
        <w:rPr>
          <w:rFonts w:eastAsiaTheme="minorEastAsia"/>
          <w:u w:val="single"/>
        </w:rPr>
      </w:pPr>
      <w:r w:rsidRPr="005A23A6">
        <w:rPr>
          <w:rFonts w:eastAsiaTheme="minorEastAsia"/>
          <w:u w:val="single"/>
        </w:rPr>
        <w:t>Theoretical Origin: The Fisher-Tippett-Gnedenko Theorem</w:t>
      </w:r>
    </w:p>
    <w:p w14:paraId="02AEF40A" w14:textId="77777777" w:rsidR="00F351F2" w:rsidRDefault="00F351F2" w:rsidP="002F358D">
      <w:pPr>
        <w:rPr>
          <w:rFonts w:eastAsiaTheme="minorEastAsia"/>
        </w:rPr>
      </w:pPr>
    </w:p>
    <w:p w14:paraId="781C3B98" w14:textId="496A4338" w:rsidR="00F351F2" w:rsidRDefault="00F351F2" w:rsidP="002F358D">
      <w:pPr>
        <w:rPr>
          <w:rFonts w:eastAsiaTheme="minorEastAsia"/>
        </w:rPr>
      </w:pPr>
      <w:r>
        <w:rPr>
          <w:rFonts w:eastAsiaTheme="minorEastAsia"/>
        </w:rPr>
        <w:t xml:space="preserve">To understand why the Gumbel distribution arises </w:t>
      </w:r>
      <w:r w:rsidR="00D30CDA">
        <w:rPr>
          <w:rFonts w:eastAsiaTheme="minorEastAsia"/>
        </w:rPr>
        <w:t xml:space="preserve">, consider the sequence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func>
      </m:oMath>
      <w:r w:rsidR="00D30CDA">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D30CDA">
        <w:rPr>
          <w:rFonts w:eastAsiaTheme="minorEastAsia"/>
        </w:rPr>
        <w:t xml:space="preserve"> are independent samples from an underlying baseline distribution.</w:t>
      </w:r>
    </w:p>
    <w:p w14:paraId="2E6937CC" w14:textId="00AEA4E5" w:rsidR="00D30CDA" w:rsidRDefault="005A23A6" w:rsidP="002F358D">
      <w:pPr>
        <w:rPr>
          <w:rFonts w:eastAsiaTheme="minorEastAsia"/>
        </w:rPr>
      </w:pPr>
      <w:r>
        <w:rPr>
          <w:rFonts w:eastAsiaTheme="minorEastAsia"/>
        </w:rPr>
        <w:t xml:space="preserve">If the baseline distribution has exponential tails that decay relatively quickly (such as Normal, Exponential Gamma or Log-normal distributions), the normalized maximum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eastAsiaTheme="minorEastAsia"/>
        </w:rPr>
        <w:t xml:space="preserve"> converges to a Gumbel distribution as </w:t>
      </w:r>
      <m:oMath>
        <m:r>
          <w:rPr>
            <w:rFonts w:ascii="Cambria Math" w:eastAsiaTheme="minorEastAsia" w:hAnsi="Cambria Math"/>
          </w:rPr>
          <m:t>n</m:t>
        </m:r>
        <m:r>
          <w:rPr>
            <w:rFonts w:ascii="Cambria Math" w:eastAsiaTheme="minorEastAsia" w:hAnsi="Cambria Math"/>
          </w:rPr>
          <m:t>→∞</m:t>
        </m:r>
      </m:oMath>
      <w:r>
        <w:rPr>
          <w:rFonts w:eastAsiaTheme="minorEastAsia"/>
        </w:rPr>
        <w:t>.</w:t>
      </w:r>
    </w:p>
    <w:p w14:paraId="135546D9" w14:textId="77777777" w:rsidR="00D30CDA" w:rsidRDefault="00D30CDA" w:rsidP="002F358D">
      <w:pPr>
        <w:rPr>
          <w:rFonts w:eastAsiaTheme="minorEastAsia"/>
        </w:rPr>
      </w:pPr>
    </w:p>
    <w:p w14:paraId="48C69826" w14:textId="5FFF63CD" w:rsidR="005A23A6" w:rsidRDefault="005A23A6" w:rsidP="002F358D">
      <w:pPr>
        <w:rPr>
          <w:rFonts w:eastAsiaTheme="minorEastAsia"/>
        </w:rPr>
      </w:pPr>
      <w:r w:rsidRPr="005A23A6">
        <w:rPr>
          <w:rFonts w:eastAsiaTheme="minorEastAsia"/>
          <w:b/>
          <w:bCs/>
        </w:rPr>
        <w:t>Proof</w:t>
      </w:r>
      <w:r>
        <w:rPr>
          <w:rFonts w:eastAsiaTheme="minorEastAsia"/>
        </w:rPr>
        <w:t xml:space="preserve"> (intuition, using Standard Exponential Baseline):</w:t>
      </w:r>
    </w:p>
    <w:p w14:paraId="020DA1A8" w14:textId="5F447477" w:rsidR="005A23A6" w:rsidRDefault="005A23A6" w:rsidP="002F358D">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Exponential</m:t>
        </m:r>
        <m:d>
          <m:dPr>
            <m:ctrlPr>
              <w:rPr>
                <w:rFonts w:ascii="Cambria Math" w:eastAsiaTheme="minorEastAsia" w:hAnsi="Cambria Math"/>
                <w:i/>
              </w:rPr>
            </m:ctrlPr>
          </m:dPr>
          <m:e>
            <m:r>
              <w:rPr>
                <w:rFonts w:ascii="Cambria Math" w:eastAsiaTheme="minorEastAsia" w:hAnsi="Cambria Math"/>
              </w:rPr>
              <m:t>1</m:t>
            </m:r>
          </m:e>
        </m:d>
      </m:oMath>
      <w:r w:rsidR="004204A7">
        <w:rPr>
          <w:rFonts w:eastAsiaTheme="minorEastAsia"/>
        </w:rPr>
        <w:t xml:space="preserve"> i.e.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4204A7">
        <w:rPr>
          <w:rFonts w:eastAsiaTheme="minorEastAsia"/>
        </w:rPr>
        <w:t xml:space="preserve">. Let’s analyze the distribution of the maximum </w:t>
      </w:r>
      <m:oMath>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oMath>
      <w:r w:rsidR="004204A7">
        <w:rPr>
          <w:rFonts w:eastAsiaTheme="minorEastAsia"/>
        </w:rPr>
        <w:t xml:space="preserve"> shifted by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oMath>
      <w:r w:rsidR="004204A7">
        <w:rPr>
          <w:rFonts w:eastAsiaTheme="minorEastAsia"/>
        </w:rPr>
        <w:t>:</w:t>
      </w:r>
    </w:p>
    <w:p w14:paraId="6735D854" w14:textId="77777777" w:rsidR="004204A7" w:rsidRDefault="004204A7" w:rsidP="002F358D">
      <w:pPr>
        <w:rPr>
          <w:rFonts w:eastAsiaTheme="minorEastAsia"/>
        </w:rPr>
      </w:pPr>
    </w:p>
    <w:p w14:paraId="2D77288F" w14:textId="3527AA27" w:rsidR="004204A7" w:rsidRDefault="00DB02A0" w:rsidP="002F358D">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e>
            </m:func>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oMath>
      <w:r w:rsidR="00872A34">
        <w:rPr>
          <w:rFonts w:eastAsiaTheme="minorEastAsia"/>
        </w:rPr>
        <w:t xml:space="preserve"> </w:t>
      </w:r>
    </w:p>
    <w:p w14:paraId="12463E43" w14:textId="77777777" w:rsidR="00872A34" w:rsidRDefault="00872A34" w:rsidP="002F358D">
      <w:pPr>
        <w:rPr>
          <w:rFonts w:eastAsiaTheme="minorEastAsia"/>
        </w:rPr>
      </w:pPr>
    </w:p>
    <w:p w14:paraId="4C941621" w14:textId="024C3AC0" w:rsidR="00872A34" w:rsidRDefault="00E818E7" w:rsidP="002F358D">
      <w:pPr>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sup>
                </m:sSup>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oMath>
      <w:r w:rsidR="00AB6D6D">
        <w:rPr>
          <w:rFonts w:eastAsiaTheme="minorEastAsia"/>
        </w:rPr>
        <w:t xml:space="preserve"> . We substitute </w:t>
      </w:r>
      <m:oMath>
        <m:r>
          <w:rPr>
            <w:rFonts w:ascii="Cambria Math" w:eastAsiaTheme="minorEastAsia" w:hAnsi="Cambria Math"/>
          </w:rPr>
          <m:t>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706AB0">
        <w:rPr>
          <w:rFonts w:eastAsiaTheme="minorEastAsia"/>
        </w:rPr>
        <w:t xml:space="preserve"> and using the limit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t</m:t>
                </m:r>
              </m:sup>
            </m:sSup>
          </m:e>
        </m:func>
      </m:oMath>
      <w:r w:rsidR="00706AB0">
        <w:rPr>
          <w:rFonts w:eastAsiaTheme="minorEastAsia"/>
        </w:rPr>
        <w:t xml:space="preserve"> we obtain:</w:t>
      </w:r>
    </w:p>
    <w:p w14:paraId="7980877E" w14:textId="77777777" w:rsidR="00706AB0" w:rsidRDefault="00706AB0" w:rsidP="002F358D">
      <w:pPr>
        <w:rPr>
          <w:rFonts w:eastAsiaTheme="minorEastAsia"/>
        </w:rPr>
      </w:pPr>
    </w:p>
    <w:p w14:paraId="31552081" w14:textId="7A460B3F" w:rsidR="00706AB0" w:rsidRDefault="00706AB0" w:rsidP="002F358D">
      <w:pPr>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sup>
            </m:sSup>
          </m:e>
        </m:func>
      </m:oMath>
      <w:r>
        <w:rPr>
          <w:rFonts w:eastAsiaTheme="minorEastAsia"/>
        </w:rPr>
        <w:t xml:space="preserve"> which is the Gumbel distribution with </w:t>
      </w:r>
      <m:oMath>
        <m:r>
          <w:rPr>
            <w:rFonts w:ascii="Cambria Math" w:eastAsiaTheme="minorEastAsia" w:hAnsi="Cambria Math"/>
          </w:rPr>
          <m:t>μ=0,β=1</m:t>
        </m:r>
      </m:oMath>
      <w:r>
        <w:rPr>
          <w:rFonts w:eastAsiaTheme="minorEastAsia"/>
        </w:rPr>
        <w:t xml:space="preserve"> a.k.a. the </w:t>
      </w:r>
      <w:r w:rsidRPr="00706AB0">
        <w:rPr>
          <w:rFonts w:eastAsiaTheme="minorEastAsia"/>
          <w:i/>
          <w:iCs/>
        </w:rPr>
        <w:t>standard Gumbel distribution</w:t>
      </w:r>
      <w:r>
        <w:rPr>
          <w:rFonts w:eastAsiaTheme="minorEastAsia"/>
        </w:rPr>
        <w:t>.</w:t>
      </w:r>
    </w:p>
    <w:p w14:paraId="5A89D326" w14:textId="77777777" w:rsidR="00F351F2" w:rsidRDefault="00F351F2" w:rsidP="002F358D"/>
    <w:p w14:paraId="739C097F" w14:textId="77777777" w:rsidR="009474EF" w:rsidRDefault="009474EF"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2F803DB1" w14:textId="338E1857" w:rsidR="00706AB0" w:rsidRPr="006A0908" w:rsidRDefault="006A0908" w:rsidP="002F358D">
      <w:pPr>
        <w:rPr>
          <w:rFonts w:eastAsiaTheme="minorEastAsia"/>
          <w:u w:val="single"/>
        </w:rPr>
      </w:pPr>
      <w:r w:rsidRPr="006A0908">
        <w:rPr>
          <w:rFonts w:eastAsiaTheme="minorEastAsia"/>
          <w:u w:val="single"/>
        </w:rPr>
        <w:t>More on the governing Theorem Fisher-Tippett-Gnedenko</w:t>
      </w:r>
    </w:p>
    <w:p w14:paraId="152FB9B6" w14:textId="77777777" w:rsidR="006A0908" w:rsidRDefault="006A0908" w:rsidP="002F358D">
      <w:pPr>
        <w:rPr>
          <w:rFonts w:eastAsiaTheme="minorEastAsia"/>
        </w:rPr>
      </w:pPr>
    </w:p>
    <w:p w14:paraId="10A0E492" w14:textId="4599C6F9" w:rsidR="006A0908" w:rsidRPr="003E22F4" w:rsidRDefault="008A0D47" w:rsidP="002F358D">
      <w:pPr>
        <w:rPr>
          <w:rFonts w:eastAsiaTheme="minorEastAsia"/>
          <w:b/>
          <w:bCs/>
        </w:rPr>
      </w:pPr>
      <w:r w:rsidRPr="003E22F4">
        <w:rPr>
          <w:rFonts w:eastAsiaTheme="minorEastAsia"/>
          <w:b/>
          <w:bCs/>
        </w:rPr>
        <w:lastRenderedPageBreak/>
        <w:t>The Fisher-Tippett-Gnedenko Theorem</w:t>
      </w:r>
      <w:r w:rsidR="003E22F4">
        <w:rPr>
          <w:rFonts w:eastAsiaTheme="minorEastAsia"/>
          <w:b/>
          <w:bCs/>
        </w:rPr>
        <w:t xml:space="preserve"> (F.T.G</w:t>
      </w:r>
      <w:r w:rsidR="00501615">
        <w:rPr>
          <w:rFonts w:eastAsiaTheme="minorEastAsia"/>
          <w:b/>
          <w:bCs/>
        </w:rPr>
        <w:t>.</w:t>
      </w:r>
      <w:r w:rsidR="003E22F4">
        <w:rPr>
          <w:rFonts w:eastAsiaTheme="minorEastAsia"/>
          <w:b/>
          <w:bCs/>
        </w:rPr>
        <w:t xml:space="preserve"> Theorem)</w:t>
      </w:r>
    </w:p>
    <w:p w14:paraId="60E50530" w14:textId="5A877BF2" w:rsidR="008A0D47" w:rsidRDefault="003E22F4" w:rsidP="002F358D">
      <w:pPr>
        <w:rPr>
          <w:rFonts w:eastAsiaTheme="minorEastAsia"/>
        </w:rPr>
      </w:pPr>
      <w:r>
        <w:rPr>
          <w:rFonts w:eastAsiaTheme="minorEastAsia"/>
        </w:rPr>
        <w:t xml:space="preserve">The F.T.G. theorem is a general result in extreme value theory regarding asymptotic distribution of extreme order statistics. </w:t>
      </w:r>
      <w:r w:rsidR="00EE3B9F">
        <w:rPr>
          <w:rFonts w:eastAsiaTheme="minorEastAsia"/>
        </w:rPr>
        <w:t xml:space="preserve">The maximum of a sample of iid r.v.’s after proper renormalization </w:t>
      </w:r>
      <w:r w:rsidR="007171AD">
        <w:rPr>
          <w:rFonts w:eastAsiaTheme="minorEastAsia"/>
        </w:rPr>
        <w:t>can only converge in distribution</w:t>
      </w:r>
      <w:r w:rsidR="007171AD">
        <w:rPr>
          <w:rStyle w:val="FootnoteReference"/>
          <w:rFonts w:eastAsiaTheme="minorEastAsia"/>
        </w:rPr>
        <w:footnoteReference w:id="1"/>
      </w:r>
      <w:r w:rsidR="007171AD">
        <w:rPr>
          <w:rFonts w:eastAsiaTheme="minorEastAsia"/>
        </w:rPr>
        <w:t xml:space="preserve"> to one of three possible distribution families </w:t>
      </w:r>
      <w:r w:rsidR="00977A20">
        <w:rPr>
          <w:rFonts w:eastAsiaTheme="minorEastAsia"/>
        </w:rPr>
        <w:t xml:space="preserve">: </w:t>
      </w:r>
      <w:hyperlink r:id="rId20" w:history="1">
        <w:r w:rsidR="00977A20" w:rsidRPr="00A00AF3">
          <w:rPr>
            <w:rStyle w:val="Hyperlink"/>
            <w:rFonts w:eastAsiaTheme="minorEastAsia"/>
          </w:rPr>
          <w:t>the Gumbel distribution</w:t>
        </w:r>
      </w:hyperlink>
      <w:r w:rsidR="00977A20">
        <w:rPr>
          <w:rFonts w:eastAsiaTheme="minorEastAsia"/>
        </w:rPr>
        <w:t xml:space="preserve">, </w:t>
      </w:r>
      <w:hyperlink r:id="rId21" w:history="1">
        <w:r w:rsidR="00977A20" w:rsidRPr="00A00AF3">
          <w:rPr>
            <w:rStyle w:val="Hyperlink"/>
            <w:rFonts w:eastAsiaTheme="minorEastAsia"/>
          </w:rPr>
          <w:t>the Fréchet distribution</w:t>
        </w:r>
      </w:hyperlink>
      <w:r w:rsidR="00977A20">
        <w:rPr>
          <w:rFonts w:eastAsiaTheme="minorEastAsia"/>
        </w:rPr>
        <w:t xml:space="preserve">, or </w:t>
      </w:r>
      <w:hyperlink r:id="rId22" w:history="1">
        <w:r w:rsidR="00977A20" w:rsidRPr="00A00AF3">
          <w:rPr>
            <w:rStyle w:val="Hyperlink"/>
            <w:rFonts w:eastAsiaTheme="minorEastAsia"/>
          </w:rPr>
          <w:t>the Weibull distribution</w:t>
        </w:r>
      </w:hyperlink>
      <w:r w:rsidR="00977A20">
        <w:rPr>
          <w:rFonts w:eastAsiaTheme="minorEastAsia"/>
        </w:rPr>
        <w:t xml:space="preserve">. </w:t>
      </w:r>
    </w:p>
    <w:p w14:paraId="68325E1F" w14:textId="361EC0F7" w:rsidR="002079A2" w:rsidRDefault="002079A2" w:rsidP="002F358D">
      <w:pPr>
        <w:rPr>
          <w:rFonts w:eastAsiaTheme="minorEastAsia"/>
        </w:rPr>
      </w:pPr>
      <w:r>
        <w:rPr>
          <w:rFonts w:eastAsiaTheme="minorEastAsia"/>
        </w:rPr>
        <w:t xml:space="preserve">The role of the extremal types theorem for the maxima is similar to that of the Central Limit Theorem (C.L.T.) for averages , except that the C.L.T. applies to the averages of a sample from any distribution with finite variance while the F.T.G Theorem only states that </w:t>
      </w:r>
      <w:r w:rsidRPr="002079A2">
        <w:rPr>
          <w:rFonts w:eastAsiaTheme="minorEastAsia"/>
          <w:i/>
          <w:iCs/>
        </w:rPr>
        <w:t>if</w:t>
      </w:r>
      <w:r>
        <w:rPr>
          <w:rFonts w:eastAsiaTheme="minorEastAsia"/>
        </w:rPr>
        <w:t xml:space="preserve"> the distribution</w:t>
      </w:r>
      <w:r w:rsidR="00E70690">
        <w:rPr>
          <w:rFonts w:eastAsiaTheme="minorEastAsia"/>
        </w:rPr>
        <w:t xml:space="preserve"> of a normalized maximum converges, </w:t>
      </w:r>
      <w:r w:rsidR="00E70690" w:rsidRPr="00E70690">
        <w:rPr>
          <w:rFonts w:eastAsiaTheme="minorEastAsia"/>
          <w:i/>
          <w:iCs/>
        </w:rPr>
        <w:t>then</w:t>
      </w:r>
      <w:r w:rsidR="00E70690">
        <w:rPr>
          <w:rFonts w:eastAsiaTheme="minorEastAsia"/>
        </w:rPr>
        <w:t xml:space="preserve"> the limit </w:t>
      </w:r>
      <w:proofErr w:type="gramStart"/>
      <w:r w:rsidR="00E70690">
        <w:rPr>
          <w:rFonts w:eastAsiaTheme="minorEastAsia"/>
        </w:rPr>
        <w:t>has to</w:t>
      </w:r>
      <w:proofErr w:type="gramEnd"/>
      <w:r w:rsidR="00E70690">
        <w:rPr>
          <w:rFonts w:eastAsiaTheme="minorEastAsia"/>
        </w:rPr>
        <w:t xml:space="preserve"> be one of a particular class of distributions. It does </w:t>
      </w:r>
      <w:r w:rsidR="00E70690" w:rsidRPr="00E70690">
        <w:rPr>
          <w:rFonts w:eastAsiaTheme="minorEastAsia"/>
          <w:i/>
          <w:iCs/>
        </w:rPr>
        <w:t>not</w:t>
      </w:r>
      <w:r w:rsidR="00E70690">
        <w:rPr>
          <w:rFonts w:eastAsiaTheme="minorEastAsia"/>
        </w:rPr>
        <w:t xml:space="preserve"> state that the distribution of the normalized maximum </w:t>
      </w:r>
      <w:r w:rsidR="00E70690" w:rsidRPr="00E70690">
        <w:rPr>
          <w:rFonts w:eastAsiaTheme="minorEastAsia"/>
          <w:i/>
          <w:iCs/>
        </w:rPr>
        <w:t>must</w:t>
      </w:r>
      <w:r w:rsidR="00E70690">
        <w:rPr>
          <w:rFonts w:eastAsiaTheme="minorEastAsia"/>
        </w:rPr>
        <w:t xml:space="preserve"> converge. </w:t>
      </w:r>
      <w:r>
        <w:rPr>
          <w:rFonts w:eastAsiaTheme="minorEastAsia"/>
        </w:rPr>
        <w:t xml:space="preserve"> </w:t>
      </w:r>
    </w:p>
    <w:p w14:paraId="4CAC4EE4" w14:textId="77777777" w:rsidR="006A0908" w:rsidRDefault="006A0908" w:rsidP="002F358D">
      <w:pPr>
        <w:rPr>
          <w:rFonts w:eastAsiaTheme="minorEastAsia"/>
        </w:rPr>
      </w:pPr>
    </w:p>
    <w:p w14:paraId="55FB2FD0" w14:textId="2ED4A5BA" w:rsidR="00E70690" w:rsidRDefault="00E70690" w:rsidP="002F358D">
      <w:pPr>
        <w:rPr>
          <w:rFonts w:eastAsiaTheme="minorEastAsia"/>
        </w:rPr>
      </w:pPr>
      <w:r w:rsidRPr="00E70690">
        <w:rPr>
          <w:rFonts w:eastAsiaTheme="minorEastAsia"/>
          <w:b/>
          <w:bCs/>
        </w:rPr>
        <w:t>Theorem</w:t>
      </w:r>
      <w:r>
        <w:rPr>
          <w:rFonts w:eastAsiaTheme="minorEastAsia"/>
        </w:rPr>
        <w:t xml:space="preserve"> </w:t>
      </w:r>
      <w:r w:rsidRPr="00E70690">
        <w:rPr>
          <w:rFonts w:eastAsiaTheme="minorEastAsia"/>
          <w:i/>
          <w:iCs/>
        </w:rPr>
        <w:t>F.G.T.</w:t>
      </w:r>
    </w:p>
    <w:p w14:paraId="085E321C" w14:textId="77777777" w:rsidR="00E70690" w:rsidRDefault="00E70690" w:rsidP="002F358D">
      <w:pPr>
        <w:rPr>
          <w:rFonts w:eastAsiaTheme="minorEastAsia"/>
        </w:rPr>
      </w:pPr>
    </w:p>
    <w:p w14:paraId="60FF1D02" w14:textId="77777777" w:rsidR="00E70690" w:rsidRDefault="00E7069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lastRenderedPageBreak/>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lastRenderedPageBreak/>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08457" w14:textId="77777777" w:rsidR="00167EB2" w:rsidRDefault="00167EB2" w:rsidP="007171AD">
      <w:pPr>
        <w:spacing w:line="240" w:lineRule="auto"/>
      </w:pPr>
      <w:r>
        <w:separator/>
      </w:r>
    </w:p>
  </w:endnote>
  <w:endnote w:type="continuationSeparator" w:id="0">
    <w:p w14:paraId="01E6BFC3" w14:textId="77777777" w:rsidR="00167EB2" w:rsidRDefault="00167EB2" w:rsidP="007171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1F915" w14:textId="77777777" w:rsidR="00167EB2" w:rsidRDefault="00167EB2" w:rsidP="007171AD">
      <w:pPr>
        <w:spacing w:line="240" w:lineRule="auto"/>
      </w:pPr>
      <w:r>
        <w:separator/>
      </w:r>
    </w:p>
  </w:footnote>
  <w:footnote w:type="continuationSeparator" w:id="0">
    <w:p w14:paraId="2BE64426" w14:textId="77777777" w:rsidR="00167EB2" w:rsidRDefault="00167EB2" w:rsidP="007171AD">
      <w:pPr>
        <w:spacing w:line="240" w:lineRule="auto"/>
      </w:pPr>
      <w:r>
        <w:continuationSeparator/>
      </w:r>
    </w:p>
  </w:footnote>
  <w:footnote w:id="1">
    <w:p w14:paraId="5A64DFF8" w14:textId="7EE52221" w:rsidR="007171AD" w:rsidRDefault="007171AD">
      <w:pPr>
        <w:pStyle w:val="FootnoteText"/>
      </w:pPr>
      <w:r>
        <w:rPr>
          <w:rStyle w:val="FootnoteReference"/>
        </w:rPr>
        <w:footnoteRef/>
      </w:r>
      <w:r>
        <w:t xml:space="preserve"> 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oMath>
      <w:r>
        <w:rPr>
          <w:rFonts w:eastAsiaTheme="minorEastAsia"/>
        </w:rPr>
        <w:t xml:space="preserve"> of real-valued r.v.’s with CDFs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is said to </w:t>
      </w:r>
      <w:r w:rsidRPr="007171AD">
        <w:rPr>
          <w:rFonts w:eastAsiaTheme="minorEastAsia"/>
          <w:i/>
          <w:iCs/>
        </w:rPr>
        <w:t>converge in distribution</w:t>
      </w:r>
      <w:r>
        <w:rPr>
          <w:rFonts w:eastAsiaTheme="minorEastAsia"/>
        </w:rPr>
        <w:t xml:space="preserve"> (aka </w:t>
      </w:r>
      <w:r w:rsidRPr="007171AD">
        <w:rPr>
          <w:rFonts w:eastAsiaTheme="minorEastAsia"/>
          <w:i/>
          <w:iCs/>
        </w:rPr>
        <w:t>converge weakly</w:t>
      </w:r>
      <w:r>
        <w:rPr>
          <w:rFonts w:eastAsiaTheme="minorEastAsia"/>
        </w:rPr>
        <w:t xml:space="preserve">) to a r.v. </w:t>
      </w:r>
      <m:oMath>
        <m:r>
          <w:rPr>
            <w:rFonts w:ascii="Cambria Math" w:eastAsiaTheme="minorEastAsia" w:hAnsi="Cambria Math"/>
          </w:rPr>
          <m:t>X</m:t>
        </m:r>
      </m:oMath>
      <w:r>
        <w:rPr>
          <w:rFonts w:eastAsiaTheme="minorEastAsia"/>
        </w:rPr>
        <w:t xml:space="preserve"> with CDF </w:t>
      </w:r>
      <m:oMath>
        <m:r>
          <w:rPr>
            <w:rFonts w:ascii="Cambria Math" w:eastAsiaTheme="minorEastAsia" w:hAnsi="Cambria Math"/>
          </w:rPr>
          <m:t>F</m:t>
        </m:r>
      </m:oMath>
      <w:r>
        <w:rPr>
          <w:rFonts w:eastAsiaTheme="minorEastAsia"/>
        </w:rPr>
        <w:t xml:space="preserve"> if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w:t>
      </w:r>
      <m:oMath>
        <m:r>
          <w:rPr>
            <w:rFonts w:ascii="Cambria Math" w:eastAsiaTheme="minorEastAsia" w:hAnsi="Cambria Math"/>
          </w:rPr>
          <m:t>∀x</m:t>
        </m:r>
        <m:r>
          <m:rPr>
            <m:scr m:val="double-struck"/>
          </m:rPr>
          <w:rPr>
            <w:rFonts w:ascii="Cambria Math" w:eastAsiaTheme="minorEastAsia" w:hAnsi="Cambria Math"/>
          </w:rPr>
          <m:t>∈R :</m:t>
        </m:r>
        <m:r>
          <w:rPr>
            <w:rFonts w:ascii="Cambria Math" w:eastAsiaTheme="minorEastAsia" w:hAnsi="Cambria Math"/>
          </w:rPr>
          <m:t>F∈C</m:t>
        </m:r>
        <m:d>
          <m:dPr>
            <m:ctrlPr>
              <w:rPr>
                <w:rFonts w:ascii="Cambria Math" w:eastAsiaTheme="minorEastAsia" w:hAnsi="Cambria Math"/>
                <w:i/>
              </w:rPr>
            </m:ctrlPr>
          </m:dPr>
          <m:e>
            <m:r>
              <w:rPr>
                <w:rFonts w:ascii="Cambria Math" w:eastAsiaTheme="minorEastAsia" w:hAnsi="Cambria Math"/>
              </w:rPr>
              <m:t>x-ε,x+</m:t>
            </m:r>
            <m:r>
              <w:rPr>
                <w:rFonts w:ascii="Cambria Math" w:eastAsiaTheme="minorEastAsia" w:hAnsi="Cambria Math"/>
              </w:rPr>
              <m:t>ε</m:t>
            </m:r>
          </m:e>
        </m:d>
      </m:oMath>
      <w:r w:rsidR="00977A20">
        <w:rPr>
          <w:rFonts w:eastAsiaTheme="minorEastAsia"/>
        </w:rPr>
        <w:t xml:space="preserve"> where </w:t>
      </w:r>
      <m:oMath>
        <m:r>
          <w:rPr>
            <w:rFonts w:ascii="Cambria Math" w:eastAsiaTheme="minorEastAsia" w:hAnsi="Cambria Math"/>
          </w:rPr>
          <m:t>ε</m:t>
        </m:r>
      </m:oMath>
      <w:r w:rsidR="00977A20">
        <w:rPr>
          <w:rFonts w:eastAsiaTheme="minorEastAsia"/>
        </w:rPr>
        <w:t xml:space="preserve"> can be made arbitrarily small.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67EB2"/>
    <w:rsid w:val="001B360B"/>
    <w:rsid w:val="001D4198"/>
    <w:rsid w:val="001E0612"/>
    <w:rsid w:val="001E496E"/>
    <w:rsid w:val="002079A2"/>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E22F4"/>
    <w:rsid w:val="003F2141"/>
    <w:rsid w:val="004103F5"/>
    <w:rsid w:val="004204A7"/>
    <w:rsid w:val="00436352"/>
    <w:rsid w:val="00483858"/>
    <w:rsid w:val="0048665C"/>
    <w:rsid w:val="00495177"/>
    <w:rsid w:val="004A74B8"/>
    <w:rsid w:val="004C2487"/>
    <w:rsid w:val="00501615"/>
    <w:rsid w:val="00511794"/>
    <w:rsid w:val="0053777D"/>
    <w:rsid w:val="0055788C"/>
    <w:rsid w:val="00571478"/>
    <w:rsid w:val="00576BCE"/>
    <w:rsid w:val="005A23A6"/>
    <w:rsid w:val="00632E63"/>
    <w:rsid w:val="00642130"/>
    <w:rsid w:val="0064615B"/>
    <w:rsid w:val="00655FFD"/>
    <w:rsid w:val="00661193"/>
    <w:rsid w:val="006A0908"/>
    <w:rsid w:val="006A2120"/>
    <w:rsid w:val="00706AB0"/>
    <w:rsid w:val="007171AD"/>
    <w:rsid w:val="0076273D"/>
    <w:rsid w:val="007D01AF"/>
    <w:rsid w:val="007D43CC"/>
    <w:rsid w:val="007F0B55"/>
    <w:rsid w:val="00811150"/>
    <w:rsid w:val="008225DC"/>
    <w:rsid w:val="008314CD"/>
    <w:rsid w:val="00866301"/>
    <w:rsid w:val="00872A34"/>
    <w:rsid w:val="00897B0B"/>
    <w:rsid w:val="008A0D47"/>
    <w:rsid w:val="008E77B1"/>
    <w:rsid w:val="008F2442"/>
    <w:rsid w:val="00916FAA"/>
    <w:rsid w:val="00944422"/>
    <w:rsid w:val="009474EF"/>
    <w:rsid w:val="00973086"/>
    <w:rsid w:val="0097715C"/>
    <w:rsid w:val="00977A20"/>
    <w:rsid w:val="00995ECC"/>
    <w:rsid w:val="0099791F"/>
    <w:rsid w:val="009B4C90"/>
    <w:rsid w:val="009E4EFF"/>
    <w:rsid w:val="009F6F4C"/>
    <w:rsid w:val="00A00AF3"/>
    <w:rsid w:val="00A4121B"/>
    <w:rsid w:val="00A7011F"/>
    <w:rsid w:val="00AB6D6D"/>
    <w:rsid w:val="00AD2000"/>
    <w:rsid w:val="00AF3030"/>
    <w:rsid w:val="00AF5E68"/>
    <w:rsid w:val="00B20EC1"/>
    <w:rsid w:val="00B32071"/>
    <w:rsid w:val="00B416B2"/>
    <w:rsid w:val="00B62A43"/>
    <w:rsid w:val="00BA71DB"/>
    <w:rsid w:val="00BD0705"/>
    <w:rsid w:val="00BE2823"/>
    <w:rsid w:val="00C95E5F"/>
    <w:rsid w:val="00CA555E"/>
    <w:rsid w:val="00CC0700"/>
    <w:rsid w:val="00CE1B41"/>
    <w:rsid w:val="00D178E4"/>
    <w:rsid w:val="00D30CDA"/>
    <w:rsid w:val="00D57883"/>
    <w:rsid w:val="00D9241F"/>
    <w:rsid w:val="00DB02A0"/>
    <w:rsid w:val="00DC4F70"/>
    <w:rsid w:val="00E373E8"/>
    <w:rsid w:val="00E4399A"/>
    <w:rsid w:val="00E70690"/>
    <w:rsid w:val="00E818E7"/>
    <w:rsid w:val="00EC05C0"/>
    <w:rsid w:val="00EE3B9F"/>
    <w:rsid w:val="00EF3D6C"/>
    <w:rsid w:val="00F3450D"/>
    <w:rsid w:val="00F351F2"/>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7171AD"/>
    <w:pPr>
      <w:spacing w:line="240" w:lineRule="auto"/>
    </w:pPr>
    <w:rPr>
      <w:sz w:val="20"/>
      <w:szCs w:val="20"/>
    </w:rPr>
  </w:style>
  <w:style w:type="character" w:customStyle="1" w:styleId="FootnoteTextChar">
    <w:name w:val="Footnote Text Char"/>
    <w:basedOn w:val="DefaultParagraphFont"/>
    <w:link w:val="FootnoteText"/>
    <w:uiPriority w:val="99"/>
    <w:semiHidden/>
    <w:rsid w:val="007171AD"/>
    <w:rPr>
      <w:sz w:val="20"/>
      <w:szCs w:val="20"/>
    </w:rPr>
  </w:style>
  <w:style w:type="character" w:styleId="FootnoteReference">
    <w:name w:val="footnote reference"/>
    <w:basedOn w:val="DefaultParagraphFont"/>
    <w:uiPriority w:val="99"/>
    <w:semiHidden/>
    <w:unhideWhenUsed/>
    <w:rsid w:val="007171A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5281/zenodo.19712427" TargetMode="External"/><Relationship Id="rId18" Type="http://schemas.openxmlformats.org/officeDocument/2006/relationships/hyperlink" Target="https://en.wikipedia.org/wiki/Fisher%E2%80%93Tippett%E2%80%93Gnedenko_theorem" TargetMode="External"/><Relationship Id="rId3" Type="http://schemas.openxmlformats.org/officeDocument/2006/relationships/settings" Target="settings.xml"/><Relationship Id="rId21" Type="http://schemas.openxmlformats.org/officeDocument/2006/relationships/hyperlink" Target="https://en.wikipedia.org/wiki/Fr%C3%A9chet_distribution" TargetMode="External"/><Relationship Id="rId7" Type="http://schemas.openxmlformats.org/officeDocument/2006/relationships/image" Target="media/image1.png"/><Relationship Id="rId12" Type="http://schemas.openxmlformats.org/officeDocument/2006/relationships/hyperlink" Target="https://github.com/dimitarpg13/semsimula-paper/blob/main/companion_notes/PARF_Augmented_SPLM_Architecture_v2.md" TargetMode="External"/><Relationship Id="rId17" Type="http://schemas.openxmlformats.org/officeDocument/2006/relationships/hyperlink" Target="https://doi.org/10.5281/zenodo.19712427" TargetMode="External"/><Relationship Id="rId2" Type="http://schemas.openxmlformats.org/officeDocument/2006/relationships/styles" Target="styles.xml"/><Relationship Id="rId16" Type="http://schemas.openxmlformats.org/officeDocument/2006/relationships/hyperlink" Target="https://github.com/dimitarpg13/semsimula-paper/blob/main/companion_notes/On_Gumbel_softmax_sparsity_applied_to_V_phi.md" TargetMode="External"/><Relationship Id="rId20" Type="http://schemas.openxmlformats.org/officeDocument/2006/relationships/hyperlink" Target="https://en.wikipedia.org/wiki/Gumbel_distribution"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5281/zenodo.19712427"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5281/zenodo.19712427"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en.wikipedia.org/wiki/Euler%27s_constan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dimitarpg13/semsimula-paper/blob/main/companion_notes/On_the_MLP_Layer_modeling_pairwise_potential.md" TargetMode="External"/><Relationship Id="rId22" Type="http://schemas.openxmlformats.org/officeDocument/2006/relationships/hyperlink" Target="https://en.wikipedia.org/wiki/Weibull_distribu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89F3B-CE5A-3041-B0B4-F34ECBD54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9</Pages>
  <Words>2231</Words>
  <Characters>12722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53</cp:revision>
  <dcterms:created xsi:type="dcterms:W3CDTF">2026-08-02T02:19:00Z</dcterms:created>
  <dcterms:modified xsi:type="dcterms:W3CDTF">2026-08-02T22:45:00Z</dcterms:modified>
</cp:coreProperties>
</file>