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D51A9" w14:textId="7D459112" w:rsidR="00503FD8" w:rsidRDefault="00D97A8D" w:rsidP="00D97A8D">
      <w:pPr>
        <w:pStyle w:val="Title"/>
      </w:pPr>
      <w:r>
        <w:t>Determining the Optimal Gamma for SPLM, PARFLM, and Fock-PARFLM Models</w:t>
      </w:r>
    </w:p>
    <w:p w14:paraId="2C9E3AA2" w14:textId="7DAD1BE7" w:rsidR="00D97A8D" w:rsidRDefault="00D97A8D">
      <w:r>
        <w:t>compiled by D. Gueorguiev, 8/2/2026</w:t>
      </w:r>
    </w:p>
    <w:p w14:paraId="2D6B7BD6" w14:textId="77777777" w:rsidR="00D97A8D" w:rsidRDefault="00D97A8D"/>
    <w:p w14:paraId="6A2ABE99" w14:textId="6D01A473" w:rsidR="00D97A8D" w:rsidRDefault="00D97A8D" w:rsidP="00D97A8D">
      <w:pPr>
        <w:pStyle w:val="Heading1"/>
      </w:pPr>
      <w:r>
        <w:t>Optimal Gamma in the SPLM Model</w:t>
      </w:r>
    </w:p>
    <w:p w14:paraId="171A66DE" w14:textId="77777777" w:rsidR="00D97A8D" w:rsidRDefault="00D97A8D" w:rsidP="00D97A8D"/>
    <w:p w14:paraId="086ECD5F" w14:textId="15C815D6" w:rsidR="00D97A8D" w:rsidRDefault="00653B55" w:rsidP="00D97A8D">
      <w:r>
        <w:t>The SPLM’s per-layer dynamics are governed by</w:t>
      </w:r>
    </w:p>
    <w:p w14:paraId="1CD13CC7" w14:textId="77777777" w:rsidR="00653B55" w:rsidRDefault="00653B55" w:rsidP="00D97A8D"/>
    <w:p w14:paraId="26C6860D" w14:textId="65376D77" w:rsidR="00653B55" w:rsidRDefault="00653B55" w:rsidP="00D97A8D">
      <w:pPr>
        <w:rPr>
          <w:rFonts w:eastAsiaTheme="minorEastAsia"/>
        </w:rPr>
      </w:pPr>
      <m:oMath>
        <m:r>
          <w:rPr>
            <w:rFonts w:ascii="Cambria Math" w:hAnsi="Cambria Math"/>
          </w:rPr>
          <m:t xml:space="preserve">m </m:t>
        </m:r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+γ 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</w:t>
      </w:r>
    </w:p>
    <w:p w14:paraId="3A520A88" w14:textId="77777777" w:rsidR="00653B55" w:rsidRDefault="00653B55" w:rsidP="00D97A8D">
      <w:pPr>
        <w:rPr>
          <w:rFonts w:eastAsiaTheme="minorEastAsia"/>
        </w:rPr>
      </w:pPr>
    </w:p>
    <w:p w14:paraId="345DC697" w14:textId="77777777" w:rsidR="00653B55" w:rsidRDefault="00653B55" w:rsidP="00D97A8D"/>
    <w:p w14:paraId="512416B9" w14:textId="77777777" w:rsidR="00D97A8D" w:rsidRDefault="00D97A8D" w:rsidP="00D97A8D"/>
    <w:p w14:paraId="418A9288" w14:textId="0B2F5B89" w:rsidR="00D97A8D" w:rsidRDefault="00D97A8D" w:rsidP="00D97A8D">
      <w:pPr>
        <w:pStyle w:val="Heading1"/>
      </w:pPr>
      <w:r>
        <w:t>References</w:t>
      </w:r>
    </w:p>
    <w:p w14:paraId="05FDBEF2" w14:textId="482BA5DB" w:rsidR="00D97A8D" w:rsidRDefault="00D97A8D" w:rsidP="00D97A8D">
      <w:r>
        <w:t>[1]</w:t>
      </w:r>
    </w:p>
    <w:p w14:paraId="415E58E4" w14:textId="29210C75" w:rsidR="00D97A8D" w:rsidRDefault="00D97A8D" w:rsidP="00D97A8D">
      <w:r>
        <w:t>[2]</w:t>
      </w:r>
    </w:p>
    <w:p w14:paraId="17B57EBC" w14:textId="2D75B95A" w:rsidR="00D97A8D" w:rsidRPr="00D97A8D" w:rsidRDefault="00D97A8D" w:rsidP="00D97A8D">
      <w:r>
        <w:t>[3]</w:t>
      </w:r>
    </w:p>
    <w:sectPr w:rsidR="00D97A8D" w:rsidRPr="00D97A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C7"/>
    <w:rsid w:val="00066B4D"/>
    <w:rsid w:val="001D66E2"/>
    <w:rsid w:val="00375C0A"/>
    <w:rsid w:val="00503FD8"/>
    <w:rsid w:val="006471C7"/>
    <w:rsid w:val="00653B55"/>
    <w:rsid w:val="00D97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B2101"/>
  <w15:chartTrackingRefBased/>
  <w15:docId w15:val="{45EC78CC-FEF9-D444-8BA7-87837FEC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A8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A8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A8D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1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1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1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1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A8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A8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1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1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1C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B5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3</cp:revision>
  <dcterms:created xsi:type="dcterms:W3CDTF">2026-08-02T23:13:00Z</dcterms:created>
  <dcterms:modified xsi:type="dcterms:W3CDTF">2026-08-02T23:28:00Z</dcterms:modified>
</cp:coreProperties>
</file>