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D51A9" w14:textId="7D459112" w:rsidR="00503FD8" w:rsidRDefault="00D97A8D" w:rsidP="00D97A8D">
      <w:pPr>
        <w:pStyle w:val="Title"/>
      </w:pPr>
      <w:r>
        <w:t>Determining the Optimal Gamma for SPLM, PARFLM, and Fock-PARFLM Models</w:t>
      </w:r>
    </w:p>
    <w:p w14:paraId="2C9E3AA2" w14:textId="7DAD1BE7" w:rsidR="00D97A8D" w:rsidRDefault="00D97A8D">
      <w:r>
        <w:t>compiled by D. Gueorguiev, 8/2/2026</w:t>
      </w:r>
    </w:p>
    <w:p w14:paraId="2D6B7BD6" w14:textId="77777777" w:rsidR="00D97A8D" w:rsidRDefault="00D97A8D"/>
    <w:p w14:paraId="6A2ABE99" w14:textId="6D01A473" w:rsidR="00D97A8D" w:rsidRDefault="00D97A8D" w:rsidP="00D97A8D">
      <w:pPr>
        <w:pStyle w:val="Heading1"/>
      </w:pPr>
      <w:r>
        <w:t>Optimal Gamma in the SPLM Model</w:t>
      </w:r>
    </w:p>
    <w:p w14:paraId="171A66DE" w14:textId="77777777" w:rsidR="00D97A8D" w:rsidRDefault="00D97A8D" w:rsidP="00D97A8D"/>
    <w:p w14:paraId="086ECD5F" w14:textId="15C815D6" w:rsidR="00D97A8D" w:rsidRDefault="00653B55" w:rsidP="00D97A8D">
      <w:r>
        <w:t>The SPLM’s per-layer dynamics are governed by</w:t>
      </w:r>
    </w:p>
    <w:p w14:paraId="1CD13CC7" w14:textId="77777777" w:rsidR="00653B55" w:rsidRDefault="00653B55" w:rsidP="00D97A8D"/>
    <w:p w14:paraId="26C6860D" w14:textId="65376D77" w:rsidR="00653B55" w:rsidRDefault="00653B55" w:rsidP="00D97A8D">
      <w:pPr>
        <w:rPr>
          <w:rFonts w:eastAsiaTheme="minorEastAsia"/>
        </w:rPr>
      </w:pPr>
      <m:oMath>
        <m:r>
          <w:rPr>
            <w:rFonts w:ascii="Cambria Math" w:hAnsi="Cambria Math"/>
          </w:rPr>
          <m:t xml:space="preserve">m </m:t>
        </m:r>
        <m:acc>
          <m:accPr>
            <m:chr m:val="̈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 xml:space="preserve">+γ 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</w:t>
      </w:r>
    </w:p>
    <w:p w14:paraId="3A520A88" w14:textId="77777777" w:rsidR="00653B55" w:rsidRDefault="00653B55" w:rsidP="00D97A8D">
      <w:pPr>
        <w:rPr>
          <w:rFonts w:eastAsiaTheme="minorEastAsia"/>
        </w:rPr>
      </w:pPr>
    </w:p>
    <w:p w14:paraId="345DC697" w14:textId="5AD7E9D3" w:rsidR="00653B55" w:rsidRDefault="00147710" w:rsidP="00D97A8D">
      <w:pPr>
        <w:rPr>
          <w:rFonts w:eastAsiaTheme="minorEastAsia"/>
        </w:rPr>
      </w:pPr>
      <w:r>
        <w:rPr>
          <w:rFonts w:eastAsiaTheme="minorEastAsia"/>
        </w:rPr>
        <w:t>discretized as a semi-implicit damped Euler step</w:t>
      </w:r>
    </w:p>
    <w:p w14:paraId="24F5C435" w14:textId="77777777" w:rsidR="00147710" w:rsidRDefault="00147710" w:rsidP="00D97A8D">
      <w:pPr>
        <w:rPr>
          <w:rFonts w:eastAsiaTheme="minorEastAsia"/>
        </w:rPr>
      </w:pPr>
    </w:p>
    <w:p w14:paraId="4F9FF352" w14:textId="11593550" w:rsidR="00407D1F" w:rsidRPr="00407D1F" w:rsidRDefault="00407D1F" w:rsidP="00D97A8D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>//TODO: finish the basics of the SPLM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4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67A98445" w14:textId="77777777" w:rsidR="00407D1F" w:rsidRDefault="00407D1F" w:rsidP="00D97A8D">
      <w:pPr>
        <w:rPr>
          <w:rFonts w:eastAsiaTheme="minorEastAsia"/>
        </w:rPr>
      </w:pPr>
    </w:p>
    <w:p w14:paraId="6A87E71B" w14:textId="77777777" w:rsidR="00407D1F" w:rsidRDefault="00407D1F" w:rsidP="00D97A8D">
      <w:pPr>
        <w:rPr>
          <w:rFonts w:eastAsiaTheme="minorEastAsia"/>
        </w:rPr>
      </w:pPr>
    </w:p>
    <w:p w14:paraId="372972E5" w14:textId="311C5834" w:rsidR="00147710" w:rsidRDefault="00407D1F" w:rsidP="00407D1F">
      <w:pPr>
        <w:pStyle w:val="Heading1"/>
      </w:pPr>
      <w:r>
        <w:t>Optimal Gamma in the Fock-PARFLM Model</w:t>
      </w:r>
    </w:p>
    <w:p w14:paraId="240EBC91" w14:textId="77777777" w:rsidR="00407D1F" w:rsidRDefault="00407D1F" w:rsidP="00D97A8D"/>
    <w:p w14:paraId="274A7FEE" w14:textId="77777777" w:rsidR="00407D1F" w:rsidRDefault="00407D1F" w:rsidP="00D97A8D"/>
    <w:p w14:paraId="17188A2F" w14:textId="77777777" w:rsidR="0074101F" w:rsidRDefault="0074101F" w:rsidP="00D97A8D"/>
    <w:p w14:paraId="208140BC" w14:textId="07BFC6C3" w:rsidR="0074101F" w:rsidRDefault="0074101F" w:rsidP="00D97A8D">
      <w:r w:rsidRPr="0074101F">
        <w:rPr>
          <w:b/>
          <w:bCs/>
        </w:rPr>
        <w:t>Note</w:t>
      </w:r>
      <w:r>
        <w:t xml:space="preserve"> on learnable </w:t>
      </w:r>
      <w:r w:rsidRPr="0074101F">
        <w:rPr>
          <w:rFonts w:ascii="Consolas" w:hAnsi="Consolas" w:cs="Consolas"/>
          <w:szCs w:val="19"/>
        </w:rPr>
        <w:t>gamma</w:t>
      </w:r>
      <w:r>
        <w:t xml:space="preserve"> in the Fock-PARFLM model</w:t>
      </w:r>
    </w:p>
    <w:p w14:paraId="1B49284A" w14:textId="77777777" w:rsidR="0074101F" w:rsidRDefault="0074101F" w:rsidP="00D97A8D"/>
    <w:p w14:paraId="19388EC9" w14:textId="0B83BEE6" w:rsidR="0074101F" w:rsidRDefault="0074101F" w:rsidP="00D97A8D">
      <w:r w:rsidRPr="0074101F">
        <w:rPr>
          <w:rFonts w:ascii="Consolas" w:hAnsi="Consolas" w:cs="Consolas"/>
        </w:rPr>
        <w:t>gamma</w:t>
      </w:r>
      <w:r>
        <w:t xml:space="preserve"> is learnable </w:t>
      </w:r>
    </w:p>
    <w:p w14:paraId="180117DE" w14:textId="77777777" w:rsidR="0074101F" w:rsidRDefault="0074101F" w:rsidP="00D97A8D"/>
    <w:p w14:paraId="5F262F9A" w14:textId="77777777" w:rsidR="0074101F" w:rsidRDefault="0074101F" w:rsidP="00D97A8D"/>
    <w:p w14:paraId="0949F37B" w14:textId="4483275B" w:rsidR="00407D1F" w:rsidRPr="00407D1F" w:rsidRDefault="00407D1F" w:rsidP="00407D1F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 xml:space="preserve">//TODO: finish the basics of the </w:t>
      </w:r>
      <w:r>
        <w:rPr>
          <w:rFonts w:eastAsiaTheme="minorEastAsia"/>
          <w:color w:val="FF0000"/>
        </w:rPr>
        <w:t>Fock-PARFLM</w:t>
      </w:r>
      <w:r w:rsidRPr="00407D1F">
        <w:rPr>
          <w:rFonts w:eastAsiaTheme="minorEastAsia"/>
          <w:color w:val="FF0000"/>
        </w:rPr>
        <w:t xml:space="preserve">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5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750E7A2A" w14:textId="77777777" w:rsidR="00407D1F" w:rsidRDefault="00407D1F" w:rsidP="00407D1F">
      <w:pPr>
        <w:rPr>
          <w:rFonts w:eastAsiaTheme="minorEastAsia"/>
        </w:rPr>
      </w:pPr>
    </w:p>
    <w:p w14:paraId="0B6AEC1F" w14:textId="77777777" w:rsidR="00407D1F" w:rsidRDefault="00407D1F" w:rsidP="00D97A8D"/>
    <w:p w14:paraId="512416B9" w14:textId="77777777" w:rsidR="00D97A8D" w:rsidRDefault="00D97A8D" w:rsidP="00D97A8D"/>
    <w:p w14:paraId="418A9288" w14:textId="0B2F5B89" w:rsidR="00D97A8D" w:rsidRDefault="00D97A8D" w:rsidP="00D97A8D">
      <w:pPr>
        <w:pStyle w:val="Heading1"/>
      </w:pPr>
      <w:r>
        <w:t>References</w:t>
      </w:r>
    </w:p>
    <w:p w14:paraId="05FDBEF2" w14:textId="20BEB352" w:rsidR="00D97A8D" w:rsidRDefault="00D97A8D" w:rsidP="00D97A8D">
      <w:r>
        <w:t>[1]</w:t>
      </w:r>
      <w:r w:rsidR="00C55342">
        <w:t xml:space="preserve"> </w:t>
      </w:r>
      <w:hyperlink r:id="rId6" w:history="1">
        <w:r w:rsidR="00C55342" w:rsidRPr="008314CD">
          <w:rPr>
            <w:rStyle w:val="Hyperlink"/>
            <w:rFonts w:eastAsiaTheme="minorEastAsia"/>
          </w:rPr>
          <w:t xml:space="preserve">Semantic Simulation: A Prescriptive </w:t>
        </w:r>
        <w:proofErr w:type="spellStart"/>
        <w:r w:rsidR="00C55342" w:rsidRPr="008314CD">
          <w:rPr>
            <w:rStyle w:val="Hyperlink"/>
            <w:rFonts w:eastAsiaTheme="minorEastAsia"/>
          </w:rPr>
          <w:t>Lagrangian</w:t>
        </w:r>
        <w:proofErr w:type="spellEnd"/>
        <w:r w:rsidR="00C55342" w:rsidRPr="008314CD">
          <w:rPr>
            <w:rStyle w:val="Hyperlink"/>
            <w:rFonts w:eastAsiaTheme="minorEastAsia"/>
          </w:rPr>
          <w:t xml:space="preserve"> Framework for Efficient Semantic Inference, D.Gueorguiev, 2026</w:t>
        </w:r>
      </w:hyperlink>
    </w:p>
    <w:p w14:paraId="415E58E4" w14:textId="262E92E5" w:rsidR="00D97A8D" w:rsidRDefault="00D97A8D" w:rsidP="00D97A8D">
      <w:r>
        <w:t>[2]</w:t>
      </w:r>
      <w:r w:rsidR="00C55342">
        <w:t xml:space="preserve"> </w:t>
      </w:r>
      <w:hyperlink r:id="rId7" w:history="1">
        <w:r w:rsidR="00C55342" w:rsidRPr="00C55342">
          <w:rPr>
            <w:rStyle w:val="Hyperlink"/>
          </w:rPr>
          <w:t xml:space="preserve">Determining Optimal Gamma for SPLM, </w:t>
        </w:r>
        <w:r w:rsidR="00C55342" w:rsidRPr="00C55342">
          <w:rPr>
            <w:rStyle w:val="Hyperlink"/>
            <w:i/>
            <w:iCs/>
          </w:rPr>
          <w:t>SemSimula</w:t>
        </w:r>
        <w:r w:rsidR="00C55342" w:rsidRPr="00C55342">
          <w:rPr>
            <w:rStyle w:val="Hyperlink"/>
          </w:rPr>
          <w:t xml:space="preserve"> companion note, 2026</w:t>
        </w:r>
      </w:hyperlink>
    </w:p>
    <w:p w14:paraId="17B57EBC" w14:textId="033C0133" w:rsidR="00D97A8D" w:rsidRPr="00D97A8D" w:rsidRDefault="00D97A8D" w:rsidP="00D97A8D">
      <w:r>
        <w:t>[3]</w:t>
      </w:r>
      <w:r w:rsidR="00C55342">
        <w:t xml:space="preserve"> Determining Optimal Gamma for Fock-PARFLM, SemSimula companion note, 2026</w:t>
      </w:r>
    </w:p>
    <w:sectPr w:rsidR="00D97A8D" w:rsidRPr="00D97A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1C7"/>
    <w:rsid w:val="00066B4D"/>
    <w:rsid w:val="00147710"/>
    <w:rsid w:val="001D66E2"/>
    <w:rsid w:val="00375C0A"/>
    <w:rsid w:val="00407D1F"/>
    <w:rsid w:val="00503FD8"/>
    <w:rsid w:val="006471C7"/>
    <w:rsid w:val="00653B55"/>
    <w:rsid w:val="0074101F"/>
    <w:rsid w:val="00C55342"/>
    <w:rsid w:val="00D97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B2101"/>
  <w15:chartTrackingRefBased/>
  <w15:docId w15:val="{45EC78CC-FEF9-D444-8BA7-87837FEC1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A8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A8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A8D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1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1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1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1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A8D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A8D"/>
    <w:rPr>
      <w:rFonts w:asciiTheme="majorHAnsi" w:eastAsiaTheme="majorEastAsia" w:hAnsiTheme="majorHAnsi" w:cstheme="majorBidi"/>
      <w:color w:val="2F5496" w:themeColor="accent1" w:themeShade="BF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1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A8D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A8D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1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1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1C7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3B55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55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3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/blob/main/companion_notes/Determining_optimal_gamma_for_SPLM.m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5281/zenodo.19712427" TargetMode="External"/><Relationship Id="rId5" Type="http://schemas.openxmlformats.org/officeDocument/2006/relationships/hyperlink" Target="https://github.com/dimitarpg13/semsimula-paper/blob/main/companion_notes/Determining_optimal_gamma_for_Fock-PARFLM.md" TargetMode="External"/><Relationship Id="rId4" Type="http://schemas.openxmlformats.org/officeDocument/2006/relationships/hyperlink" Target="https://github.com/dimitarpg13/semsimula-paper/blob/main/companion_notes/Determining_optimal_gamma_for_SPLM.md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197</Words>
  <Characters>1128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5</cp:revision>
  <dcterms:created xsi:type="dcterms:W3CDTF">2026-08-02T23:13:00Z</dcterms:created>
  <dcterms:modified xsi:type="dcterms:W3CDTF">2026-08-03T02:21:00Z</dcterms:modified>
</cp:coreProperties>
</file>