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3864"/>
          <w:sz w:val="48"/>
          <w:szCs w:val="48"/>
        </w:rPr>
        <w:t xml:space="preserve">Semantic Hamiltonian and Fock Spaces</w:t>
      </w:r>
    </w:p>
    <w:p>
      <w:pPr>
        <w:spacing w:after="80"/>
        <w:jc w:val="center"/>
      </w:pPr>
      <w:r>
        <w:rPr>
          <w:rFonts w:ascii="Arial" w:cs="Arial" w:eastAsia="Arial" w:hAnsi="Arial"/>
          <w:i/>
          <w:iCs/>
          <w:color w:val="444444"/>
          <w:sz w:val="26"/>
          <w:szCs w:val="26"/>
        </w:rPr>
        <w:t xml:space="preserve">A theoretical bridge between the Prescriptive Lagrangian Framework</w:t>
      </w:r>
    </w:p>
    <w:p>
      <w:pPr>
        <w:spacing w:after="80"/>
        <w:jc w:val="center"/>
      </w:pPr>
      <w:r>
        <w:rPr>
          <w:rFonts w:ascii="Arial" w:cs="Arial" w:eastAsia="Arial" w:hAnsi="Arial"/>
          <w:i/>
          <w:iCs/>
          <w:color w:val="444444"/>
          <w:sz w:val="26"/>
          <w:szCs w:val="26"/>
        </w:rPr>
        <w:t xml:space="preserve">and quantum field-theoretic models of semantic structure creation</w:t>
      </w:r>
    </w:p>
    <w:p>
      <w:pPr>
        <w:spacing w:after="400"/>
        <w:jc w:val="center"/>
      </w:pPr>
      <w:r>
        <w:rPr>
          <w:rFonts w:ascii="Arial" w:cs="Arial" w:eastAsia="Arial" w:hAnsi="Arial"/>
          <w:color w:val="888888"/>
          <w:sz w:val="22"/>
          <w:szCs w:val="22"/>
        </w:rPr>
        <w:t xml:space="preserve">Dimitar Gueorguiev — Semantic Simulation Working Notes</w:t>
      </w:r>
    </w:p>
    <w:p>
      <w:pPr>
        <w:pBdr>
          <w:bottom w:val="single" w:color="2E75B6" w:sz="4" w:space="1"/>
        </w:pBdr>
        <w:spacing w:after="200" w:before="200"/>
      </w:pPr>
    </w:p>
    <w:p>
      <w:pPr>
        <w:spacing w:after="160"/>
      </w:pPr>
    </w:p>
    <w:p>
      <w:pPr>
        <w:pStyle w:val="Heading1"/>
      </w:pPr>
      <w:r>
        <w:rPr>
          <w:rFonts w:ascii="Arial" w:cs="Arial" w:eastAsia="Arial" w:hAnsi="Arial"/>
        </w:rPr>
        <w:t xml:space="preserve">1. Overview and Motivation</w:t>
      </w:r>
    </w:p>
    <w:p>
      <w:pPr>
        <w:spacing w:after="160"/>
      </w:pPr>
      <w:r>
        <w:rPr>
          <w:rFonts w:ascii="Arial" w:cs="Arial" w:eastAsia="Arial" w:hAnsi="Arial"/>
          <w:sz w:val="24"/>
          <w:szCs w:val="24"/>
        </w:rPr>
        <w:t xml:space="preserve">This document records the theoretical development connecting the Prescriptive Lagrangian Framework of Semantic Simulation to the formalism of Fock spaces and second quantisation. The central claim is:</w:t>
      </w:r>
    </w:p>
    <w:p>
      <w:pPr>
        <w:spacing w:after="80"/>
      </w:pPr>
    </w:p>
    <w:p>
      <w:pPr>
        <w:spacing w:after="100" w:before="100"/>
        <w:ind w:left="720" w:right="720"/>
      </w:pPr>
      <w:r>
        <w:rPr>
          <w:rFonts w:ascii="Arial" w:cs="Arial" w:eastAsia="Arial" w:hAnsi="Arial"/>
          <w:i/>
          <w:iCs/>
          <w:color w:val="1F3864"/>
          <w:sz w:val="24"/>
          <w:szCs w:val="24"/>
        </w:rPr>
        <w:t xml:space="preserve">The Semantic Simulation Lagrangian L = T − V, already defined in the paper, uniquely determines a Semantic Hamiltonian H = T + V via a standard Legendre transform. Promoting H to an operator on a Fock space F(ℋ) yields creation and annihilation operators whose action models the compositional construction of semantic structure.</w:t>
      </w:r>
    </w:p>
    <w:p>
      <w:pPr>
        <w:spacing w:after="80"/>
      </w:pPr>
    </w:p>
    <w:p>
      <w:pPr>
        <w:spacing w:after="160"/>
      </w:pPr>
      <w:r>
        <w:rPr>
          <w:rFonts w:ascii="Arial" w:cs="Arial" w:eastAsia="Arial" w:hAnsi="Arial"/>
          <w:sz w:val="24"/>
          <w:szCs w:val="24"/>
        </w:rPr>
        <w:t xml:space="preserve">Each step in this chain is a standard mathematical operation — no additional physical assumptions are required. The value of the Fock-space picture is threefold:</w:t>
      </w:r>
    </w:p>
    <w:p>
      <w:pPr>
        <w:pStyle w:val="ListParagraph"/>
        <w:numPr>
          <w:ilvl w:val="0"/>
          <w:numId w:val="2"/>
        </w:numPr>
        <w:spacing w:after="100"/>
      </w:pPr>
      <w:r>
        <w:rPr>
          <w:rFonts w:ascii="Arial" w:cs="Arial" w:eastAsia="Arial" w:hAnsi="Arial"/>
          <w:sz w:val="24"/>
          <w:szCs w:val="24"/>
        </w:rPr>
        <w:t xml:space="preserve">It provides a graded compositional hierarchy (the n-particle sectors) that is absent from the purely Lagrangian formulation.</w:t>
      </w:r>
    </w:p>
    <w:p>
      <w:pPr>
        <w:pStyle w:val="ListParagraph"/>
        <w:numPr>
          <w:ilvl w:val="0"/>
          <w:numId w:val="2"/>
        </w:numPr>
        <w:spacing w:after="100"/>
      </w:pPr>
      <w:r>
        <w:rPr>
          <w:rFonts w:ascii="Arial" w:cs="Arial" w:eastAsia="Arial" w:hAnsi="Arial"/>
          <w:sz w:val="24"/>
          <w:szCs w:val="24"/>
        </w:rPr>
        <w:t xml:space="preserve">It gives creation and annihilation operators a precise semantic interpretation — adding or removing atomic semantic units.</w:t>
      </w:r>
    </w:p>
    <w:p>
      <w:pPr>
        <w:pStyle w:val="ListParagraph"/>
        <w:numPr>
          <w:ilvl w:val="0"/>
          <w:numId w:val="2"/>
        </w:numPr>
        <w:spacing w:after="200"/>
      </w:pPr>
      <w:r>
        <w:rPr>
          <w:rFonts w:ascii="Arial" w:cs="Arial" w:eastAsia="Arial" w:hAnsi="Arial"/>
          <w:sz w:val="24"/>
          <w:szCs w:val="24"/>
        </w:rPr>
        <w:t xml:space="preserve">The velocity-dependent damping term in the Euler–Lagrange equations signals that the system is dissipative, placing it in the class of open quantum systems described by a Lindblad master equation rather than standard unitary Fock-space dynamics.</w:t>
      </w:r>
    </w:p>
    <w:p>
      <w:pPr>
        <w:pBdr>
          <w:bottom w:val="single" w:color="2E75B6" w:sz="4" w:space="1"/>
        </w:pBdr>
        <w:spacing w:after="200" w:before="200"/>
      </w:pPr>
    </w:p>
    <w:p>
      <w:pPr>
        <w:pStyle w:val="Heading1"/>
      </w:pPr>
      <w:r>
        <w:rPr>
          <w:rFonts w:ascii="Arial" w:cs="Arial" w:eastAsia="Arial" w:hAnsi="Arial"/>
        </w:rPr>
        <w:t xml:space="preserve">2. Fock Space: Mathematical Foundation</w:t>
      </w:r>
    </w:p>
    <w:p>
      <w:pPr>
        <w:spacing w:after="160"/>
      </w:pPr>
      <w:r>
        <w:rPr>
          <w:rFonts w:ascii="Arial" w:cs="Arial" w:eastAsia="Arial" w:hAnsi="Arial"/>
          <w:sz w:val="24"/>
          <w:szCs w:val="24"/>
        </w:rPr>
        <w:t xml:space="preserve">Let ℋ be a single-particle Hilbert space — the semantic basis space. Concretely, ℋ is identified with the learned representation space ℤ of the Semantic Simulation encoder. The bosonic Fock space over ℋ is the Hilbert space direct sum:</w:t>
      </w:r>
    </w:p>
    <w:p>
      <w:pPr>
        <w:spacing w:after="120" w:before="120"/>
        <w:jc w:val="center"/>
      </w:pPr>
      <w:r>
        <w:rPr>
          <w:rFonts w:ascii="Cambria Math" w:cs="Cambria Math" w:eastAsia="Cambria Math" w:hAnsi="Cambria Math"/>
          <w:i/>
          <w:iCs/>
          <w:sz w:val="24"/>
          <w:szCs w:val="24"/>
        </w:rPr>
        <w:t xml:space="preserve">F(ℋ)  =  ⊕ⁿ₀∞  Sⁿℋ  =  ℂ  ⊕  ℋ  ⊕  S²(ℋ ⊗ ℋ)  ⊕  ···</w:t>
      </w:r>
    </w:p>
    <w:p>
      <w:pPr>
        <w:spacing w:after="160"/>
      </w:pPr>
      <w:r>
        <w:rPr>
          <w:rFonts w:ascii="Arial" w:cs="Arial" w:eastAsia="Arial" w:hAnsi="Arial"/>
          <w:sz w:val="24"/>
          <w:szCs w:val="24"/>
        </w:rPr>
        <w:t xml:space="preserve">where Sⁿ denotes the symmetric n-fold tensor product and ℂ = S⁰ℋ is the vacuum sector. Each summand Sⁿℋ is the n-particle sector, capturing semantic states of exactly compositional depth n. The full Fock space accommodates superpositions across all depths simultaneously, making it the natural arena for reasoning about variable-complexity semantic structures.</w:t>
      </w:r>
    </w:p>
    <w:p>
      <w:pPr>
        <w:spacing w:after="80"/>
      </w:pPr>
    </w:p>
    <w:p>
      <w:pPr>
        <w:pStyle w:val="Heading2"/>
      </w:pPr>
      <w:r>
        <w:rPr>
          <w:rFonts w:ascii="Arial" w:cs="Arial" w:eastAsia="Arial" w:hAnsi="Arial"/>
        </w:rPr>
        <w:t xml:space="preserve">2.1  The Vacuum State</w:t>
      </w:r>
    </w:p>
    <w:p>
      <w:pPr>
        <w:spacing w:after="160"/>
      </w:pPr>
      <w:r>
        <w:rPr>
          <w:rFonts w:ascii="Arial" w:cs="Arial" w:eastAsia="Arial" w:hAnsi="Arial"/>
          <w:sz w:val="24"/>
          <w:szCs w:val="24"/>
        </w:rPr>
        <w:t xml:space="preserve">The vacuum |0⟩ ∈ ℂ is the unique (up to phase) state of zero semantic content. In the Semantic Simulation context it corresponds to the prior state of the world model before any observation — the minimal-information state from which all semantic structure must be created by operator action. Non-zero vacuum energy (⟨0|H|0⟩ &gt; 0) corresponds to prior-induced hallucination: the model assigns non-zero probability to spurious semantic structure even from the null context.</w:t>
      </w:r>
    </w:p>
    <w:p>
      <w:pPr>
        <w:spacing w:after="80"/>
      </w:pPr>
    </w:p>
    <w:p>
      <w:pPr>
        <w:pStyle w:val="Heading2"/>
      </w:pPr>
      <w:r>
        <w:rPr>
          <w:rFonts w:ascii="Arial" w:cs="Arial" w:eastAsia="Arial" w:hAnsi="Arial"/>
        </w:rPr>
        <w:t xml:space="preserve">2.2  The n-Particle Sectors</w:t>
      </w:r>
    </w:p>
    <w:p>
      <w:pPr>
        <w:spacing w:after="160"/>
      </w:pPr>
      <w:r>
        <w:rPr>
          <w:rFonts w:ascii="Arial" w:cs="Arial" w:eastAsia="Arial" w:hAnsi="Arial"/>
          <w:sz w:val="24"/>
          <w:szCs w:val="24"/>
        </w:rPr>
        <w:t xml:space="preserve">Each sector Sⁿℋ carries states of definite compositional depth:</w:t>
      </w:r>
    </w:p>
    <w:p>
      <w:pPr>
        <w:pStyle w:val="ListParagraph"/>
        <w:numPr>
          <w:ilvl w:val="0"/>
          <w:numId w:val="3"/>
        </w:numPr>
        <w:spacing w:after="60"/>
      </w:pPr>
      <w:r>
        <w:rPr>
          <w:rFonts w:ascii="Arial" w:cs="Arial" w:eastAsia="Arial" w:hAnsi="Arial"/>
          <w:sz w:val="24"/>
          <w:szCs w:val="24"/>
        </w:rPr>
        <w:t xml:space="preserve">n = 0: vacuum, zero semantic content.</w:t>
      </w:r>
    </w:p>
    <w:p>
      <w:pPr>
        <w:pStyle w:val="ListParagraph"/>
        <w:numPr>
          <w:ilvl w:val="0"/>
          <w:numId w:val="3"/>
        </w:numPr>
        <w:spacing w:after="60"/>
      </w:pPr>
      <w:r>
        <w:rPr>
          <w:rFonts w:ascii="Arial" w:cs="Arial" w:eastAsia="Arial" w:hAnsi="Arial"/>
          <w:sz w:val="24"/>
          <w:szCs w:val="24"/>
        </w:rPr>
        <w:t xml:space="preserve">n = 1: atomic concepts — single-token representations, encoder outputs zᵢ ∈ ℤ.</w:t>
      </w:r>
    </w:p>
    <w:p>
      <w:pPr>
        <w:pStyle w:val="ListParagraph"/>
        <w:numPr>
          <w:ilvl w:val="0"/>
          <w:numId w:val="3"/>
        </w:numPr>
        <w:spacing w:after="60"/>
      </w:pPr>
      <w:r>
        <w:rPr>
          <w:rFonts w:ascii="Arial" w:cs="Arial" w:eastAsia="Arial" w:hAnsi="Arial"/>
          <w:sz w:val="24"/>
          <w:szCs w:val="24"/>
        </w:rPr>
        <w:t xml:space="preserve">n = 2: pairwise relations — bigram-level semantic structure, corresponding to the one-body density matrix Aᵢⱼ in attention.</w:t>
      </w:r>
    </w:p>
    <w:p>
      <w:pPr>
        <w:pStyle w:val="ListParagraph"/>
        <w:numPr>
          <w:ilvl w:val="0"/>
          <w:numId w:val="3"/>
        </w:numPr>
        <w:spacing w:after="200"/>
      </w:pPr>
      <w:r>
        <w:rPr>
          <w:rFonts w:ascii="Arial" w:cs="Arial" w:eastAsia="Arial" w:hAnsi="Arial"/>
          <w:sz w:val="24"/>
          <w:szCs w:val="24"/>
        </w:rPr>
        <w:t xml:space="preserve">n = k: k-ary compositional structures — higher-order attention, multi-step inference chains.</w:t>
      </w:r>
    </w:p>
    <w:p>
      <w:pPr>
        <w:spacing w:after="160"/>
      </w:pPr>
      <w:r>
        <w:rPr>
          <w:rFonts w:ascii="Arial" w:cs="Arial" w:eastAsia="Arial" w:hAnsi="Arial"/>
          <w:sz w:val="24"/>
          <w:szCs w:val="24"/>
        </w:rPr>
        <w:t xml:space="preserve">Because Sⁿ uses the symmetric tensor product (bosonic statistics), the state |s₁, s₂⟩ = |s₂, s₁⟩ is order-invariant, modelling bag-of-concepts semantics. Temporal and causal ordering requires either the non-symmetric tensor product ℋ⊗ⁿ (distinguishable particles, one per position) or fermionic statistics. The transformer’s positional encoding injects exactly this ordered structure into an otherwise bosonic problem.</w:t>
      </w:r>
    </w:p>
    <w:p>
      <w:pPr>
        <w:spacing w:after="80"/>
      </w:pPr>
    </w:p>
    <w:p>
      <w:pPr>
        <w:pStyle w:val="Heading2"/>
      </w:pPr>
      <w:r>
        <w:rPr>
          <w:rFonts w:ascii="Arial" w:cs="Arial" w:eastAsia="Arial" w:hAnsi="Arial"/>
        </w:rPr>
        <w:t xml:space="preserve">2.3  General Semantic States</w:t>
      </w:r>
    </w:p>
    <w:p>
      <w:pPr>
        <w:spacing w:after="160"/>
      </w:pPr>
      <w:r>
        <w:rPr>
          <w:rFonts w:ascii="Arial" w:cs="Arial" w:eastAsia="Arial" w:hAnsi="Arial"/>
          <w:sz w:val="24"/>
          <w:szCs w:val="24"/>
        </w:rPr>
        <w:t xml:space="preserve">A general semantic state is a superposition across compositional depths:</w:t>
      </w:r>
    </w:p>
    <w:p>
      <w:pPr>
        <w:spacing w:after="120" w:before="120"/>
        <w:jc w:val="center"/>
      </w:pPr>
      <w:r>
        <w:rPr>
          <w:rFonts w:ascii="Cambria Math" w:cs="Cambria Math" w:eastAsia="Cambria Math" w:hAnsi="Cambria Math"/>
          <w:i/>
          <w:iCs/>
          <w:sz w:val="24"/>
          <w:szCs w:val="24"/>
        </w:rPr>
        <w:t xml:space="preserve">|{ψ}⟩  =  c₀|0⟩  +  Σᵢ cᵢ|sᵢ⟩  +  Σᵢⱼ cᵢⱼ|sᵢ, sⱼ⟩  +  ···  ∈  F(ℋ)</w:t>
      </w:r>
    </w:p>
    <w:p>
      <w:pPr>
        <w:spacing w:after="160"/>
      </w:pPr>
      <w:r>
        <w:rPr>
          <w:rFonts w:ascii="Arial" w:cs="Arial" w:eastAsia="Arial" w:hAnsi="Arial"/>
          <w:sz w:val="24"/>
          <w:szCs w:val="24"/>
        </w:rPr>
        <w:t xml:space="preserve">The coefficients cᵢ₁⋯ᵢₖ encode both which concepts are active and the model’s uncertainty about compositional depth. This makes the Fock formalism strictly more expressive than a fixed-dimensional representation space: semantic complexity itself becomes a quantum number.</w:t>
      </w:r>
    </w:p>
    <w:p>
      <w:pPr>
        <w:pBdr>
          <w:bottom w:val="single" w:color="2E75B6" w:sz="4" w:space="1"/>
        </w:pBdr>
        <w:spacing w:after="200" w:before="200"/>
      </w:pPr>
    </w:p>
    <w:p>
      <w:pPr>
        <w:pStyle w:val="Heading1"/>
      </w:pPr>
      <w:r>
        <w:rPr>
          <w:rFonts w:ascii="Arial" w:cs="Arial" w:eastAsia="Arial" w:hAnsi="Arial"/>
        </w:rPr>
        <w:t xml:space="preserve">3. Operator Algebra and Semantic Dictionary</w:t>
      </w:r>
    </w:p>
    <w:p>
      <w:pPr>
        <w:spacing w:after="160"/>
      </w:pPr>
      <w:r>
        <w:rPr>
          <w:rFonts w:ascii="Arial" w:cs="Arial" w:eastAsia="Arial" w:hAnsi="Arial"/>
          <w:sz w:val="24"/>
          <w:szCs w:val="24"/>
        </w:rPr>
        <w:t xml:space="preserve">For each basis element |s⟩ ∈ ℋ, define creation and annihilation operators:</w:t>
      </w:r>
    </w:p>
    <w:p>
      <w:pPr>
        <w:spacing w:after="120" w:before="120"/>
        <w:jc w:val="center"/>
      </w:pPr>
      <w:r>
        <w:rPr>
          <w:rFonts w:ascii="Cambria Math" w:cs="Cambria Math" w:eastAsia="Cambria Math" w:hAnsi="Cambria Math"/>
          <w:i/>
          <w:iCs/>
          <w:sz w:val="24"/>
          <w:szCs w:val="24"/>
        </w:rPr>
        <w:t xml:space="preserve">aₛⁿ |s₁, …, sⁿ⟩  =  |s, s₁, …, sⁿ⟩</w:t>
      </w:r>
    </w:p>
    <w:p>
      <w:pPr>
        <w:spacing w:after="120" w:before="120"/>
        <w:jc w:val="center"/>
      </w:pPr>
      <w:r>
        <w:rPr>
          <w:rFonts w:ascii="Cambria Math" w:cs="Cambria Math" w:eastAsia="Cambria Math" w:hAnsi="Cambria Math"/>
          <w:i/>
          <w:iCs/>
          <w:sz w:val="24"/>
          <w:szCs w:val="24"/>
        </w:rPr>
        <w:t xml:space="preserve">aₛ |s₁, …, sⁿ⟩  =  Σᵢ δₛ,ₛᵢ |s₁, …, ŝᵢ, …, sⁿ⟩</w:t>
      </w:r>
    </w:p>
    <w:p>
      <w:pPr>
        <w:spacing w:after="160"/>
      </w:pPr>
      <w:r>
        <w:rPr>
          <w:rFonts w:ascii="Arial" w:cs="Arial" w:eastAsia="Arial" w:hAnsi="Arial"/>
          <w:sz w:val="24"/>
          <w:szCs w:val="24"/>
        </w:rPr>
        <w:t xml:space="preserve">with canonical commutation relations [aₛ, aₛ’ⁿ] = δₛₛ’ and [aₛ, aₛ’] = 0. The number operator N̂ₛ = aₛⁿ aₛ counts occurrences of semantic unit s, and N̂ = Σₛ N̂ₛ measures total compositional depth.</w:t>
      </w:r>
    </w:p>
    <w:p>
      <w:pPr>
        <w:spacing w:after="80"/>
      </w:pPr>
    </w:p>
    <w:p>
      <w:pPr>
        <w:spacing w:after="160"/>
      </w:pPr>
      <w:r>
        <w:rPr>
          <w:rFonts w:ascii="Arial" w:cs="Arial" w:eastAsia="Arial" w:hAnsi="Arial"/>
          <w:sz w:val="24"/>
          <w:szCs w:val="24"/>
        </w:rPr>
        <w:t xml:space="preserve">The complete semantic dictionary mapping Fock operators to Semantic Simulation constructs is: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Cambria Math" w:cs="Cambria Math" w:eastAsia="Cambria Math" w:hAnsi="Cambria Math"/>
                <w:b/>
                <w:bCs/>
                <w:i w:val="false"/>
                <w:iCs w:val="false"/>
                <w:color w:val="FFFFFF"/>
                <w:sz w:val="22"/>
                <w:szCs w:val="22"/>
              </w:rPr>
              <w:t xml:space="preserve">Fock operator</w:t>
            </w:r>
          </w:p>
        </w:tc>
        <w:tc>
          <w:tcPr>
            <w:tcW w:type="dxa" w:w="328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2"/>
                <w:szCs w:val="22"/>
              </w:rPr>
              <w:t xml:space="preserve">Semantic interpretation</w:t>
            </w:r>
          </w:p>
        </w:tc>
        <w:tc>
          <w:tcPr>
            <w:tcW w:type="dxa" w:w="328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2"/>
                <w:szCs w:val="22"/>
              </w:rPr>
              <w:t xml:space="preserve">STP / Sem. Sim. mapping</w:t>
            </w:r>
          </w:p>
        </w:tc>
      </w:tr>
      <w:tr>
        <w:tc>
          <w:tcPr>
            <w:tcW w:type="dxa" w:w="28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Cambria Math" w:cs="Cambria Math" w:eastAsia="Cambria Math" w:hAnsi="Cambria Math"/>
                <w:b w:val="false"/>
                <w:bCs w:val="false"/>
                <w:i/>
                <w:iCs/>
                <w:color w:val="222222"/>
                <w:sz w:val="22"/>
                <w:szCs w:val="22"/>
              </w:rPr>
              <w:t xml:space="preserve">|0⟩</w:t>
            </w:r>
          </w:p>
        </w:tc>
        <w:tc>
          <w:tcPr>
            <w:tcW w:type="dxa" w:w="328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b w:val="false"/>
                <w:bCs w:val="false"/>
                <w:color w:val="222222"/>
                <w:sz w:val="22"/>
                <w:szCs w:val="22"/>
              </w:rPr>
              <w:t xml:space="preserve">Null / prior semantic state</w:t>
            </w:r>
          </w:p>
        </w:tc>
        <w:tc>
          <w:tcPr>
            <w:tcW w:type="dxa" w:w="328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b w:val="false"/>
                <w:bCs w:val="false"/>
                <w:color w:val="222222"/>
                <w:sz w:val="22"/>
                <w:szCs w:val="22"/>
              </w:rPr>
              <w:t xml:space="preserve">z₀ before any observation</w:t>
            </w:r>
          </w:p>
        </w:tc>
      </w:tr>
      <w:tr>
        <w:tc>
          <w:tcPr>
            <w:tcW w:type="dxa" w:w="28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Cambria Math" w:cs="Cambria Math" w:eastAsia="Cambria Math" w:hAnsi="Cambria Math"/>
                <w:b w:val="false"/>
                <w:bCs w:val="false"/>
                <w:i/>
                <w:iCs/>
                <w:color w:val="222222"/>
                <w:sz w:val="22"/>
                <w:szCs w:val="22"/>
              </w:rPr>
              <w:t xml:space="preserve">aₛⁿ  (creation)</w:t>
            </w:r>
          </w:p>
        </w:tc>
        <w:tc>
          <w:tcPr>
            <w:tcW w:type="dxa" w:w="328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b w:val="false"/>
                <w:bCs w:val="false"/>
                <w:color w:val="222222"/>
                <w:sz w:val="22"/>
                <w:szCs w:val="22"/>
              </w:rPr>
              <w:t xml:space="preserve">Introduce semantic element s</w:t>
            </w:r>
          </w:p>
        </w:tc>
        <w:tc>
          <w:tcPr>
            <w:tcW w:type="dxa" w:w="328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b w:val="false"/>
                <w:bCs w:val="false"/>
                <w:color w:val="222222"/>
                <w:sz w:val="22"/>
                <w:szCs w:val="22"/>
              </w:rPr>
              <w:t xml:space="preserve">Encoder output zᵢ ∈ ℤ</w:t>
            </w:r>
          </w:p>
        </w:tc>
      </w:tr>
      <w:tr>
        <w:tc>
          <w:tcPr>
            <w:tcW w:type="dxa" w:w="28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Cambria Math" w:cs="Cambria Math" w:eastAsia="Cambria Math" w:hAnsi="Cambria Math"/>
                <w:b w:val="false"/>
                <w:bCs w:val="false"/>
                <w:i/>
                <w:iCs/>
                <w:color w:val="222222"/>
                <w:sz w:val="22"/>
                <w:szCs w:val="22"/>
              </w:rPr>
              <w:t xml:space="preserve">aₛ  (annihilation)</w:t>
            </w:r>
          </w:p>
        </w:tc>
        <w:tc>
          <w:tcPr>
            <w:tcW w:type="dxa" w:w="328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b w:val="false"/>
                <w:bCs w:val="false"/>
                <w:color w:val="222222"/>
                <w:sz w:val="22"/>
                <w:szCs w:val="22"/>
              </w:rPr>
              <w:t xml:space="preserve">Marginalize over element s</w:t>
            </w:r>
          </w:p>
        </w:tc>
        <w:tc>
          <w:tcPr>
            <w:tcW w:type="dxa" w:w="328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b w:val="false"/>
                <w:bCs w:val="false"/>
                <w:color w:val="222222"/>
                <w:sz w:val="22"/>
                <w:szCs w:val="22"/>
              </w:rPr>
              <w:t xml:space="preserve">Abstraction / compression step</w:t>
            </w:r>
          </w:p>
        </w:tc>
      </w:tr>
      <w:tr>
        <w:tc>
          <w:tcPr>
            <w:tcW w:type="dxa" w:w="28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Cambria Math" w:cs="Cambria Math" w:eastAsia="Cambria Math" w:hAnsi="Cambria Math"/>
                <w:b w:val="false"/>
                <w:bCs w:val="false"/>
                <w:i/>
                <w:iCs/>
                <w:color w:val="222222"/>
                <w:sz w:val="22"/>
                <w:szCs w:val="22"/>
              </w:rPr>
              <w:t xml:space="preserve">N̂ = Σₛ aₛⁿ aₛ</w:t>
            </w:r>
          </w:p>
        </w:tc>
        <w:tc>
          <w:tcPr>
            <w:tcW w:type="dxa" w:w="328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b w:val="false"/>
                <w:bCs w:val="false"/>
                <w:color w:val="222222"/>
                <w:sz w:val="22"/>
                <w:szCs w:val="22"/>
              </w:rPr>
              <w:t xml:space="preserve">Compositional depth</w:t>
            </w:r>
          </w:p>
        </w:tc>
        <w:tc>
          <w:tcPr>
            <w:tcW w:type="dxa" w:w="328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b w:val="false"/>
                <w:bCs w:val="false"/>
                <w:color w:val="222222"/>
                <w:sz w:val="22"/>
                <w:szCs w:val="22"/>
              </w:rPr>
              <w:t xml:space="preserve">Inference chain length</w:t>
            </w:r>
          </w:p>
        </w:tc>
      </w:tr>
      <w:tr>
        <w:tc>
          <w:tcPr>
            <w:tcW w:type="dxa" w:w="28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Cambria Math" w:cs="Cambria Math" w:eastAsia="Cambria Math" w:hAnsi="Cambria Math"/>
                <w:b w:val="false"/>
                <w:bCs w:val="false"/>
                <w:i/>
                <w:iCs/>
                <w:color w:val="222222"/>
                <w:sz w:val="22"/>
                <w:szCs w:val="22"/>
              </w:rPr>
              <w:t xml:space="preserve">[aₛ, aₛ’ⁿ] = δₛₛ’</w:t>
            </w:r>
          </w:p>
        </w:tc>
        <w:tc>
          <w:tcPr>
            <w:tcW w:type="dxa" w:w="328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b w:val="false"/>
                <w:bCs w:val="false"/>
                <w:color w:val="222222"/>
                <w:sz w:val="22"/>
                <w:szCs w:val="22"/>
              </w:rPr>
              <w:t xml:space="preserve">Orthogonality of primitives</w:t>
            </w:r>
          </w:p>
        </w:tc>
        <w:tc>
          <w:tcPr>
            <w:tcW w:type="dxa" w:w="328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b w:val="false"/>
                <w:bCs w:val="false"/>
                <w:color w:val="222222"/>
                <w:sz w:val="22"/>
                <w:szCs w:val="22"/>
              </w:rPr>
              <w:t xml:space="preserve">SIGReg / Cramér–Wald condition</w:t>
            </w:r>
          </w:p>
        </w:tc>
      </w:tr>
      <w:tr>
        <w:tc>
          <w:tcPr>
            <w:tcW w:type="dxa" w:w="28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Cambria Math" w:cs="Cambria Math" w:eastAsia="Cambria Math" w:hAnsi="Cambria Math"/>
                <w:b w:val="false"/>
                <w:bCs w:val="false"/>
                <w:i/>
                <w:iCs/>
                <w:color w:val="222222"/>
                <w:sz w:val="22"/>
                <w:szCs w:val="22"/>
              </w:rPr>
              <w:t xml:space="preserve">Bogoliubov transform</w:t>
            </w:r>
          </w:p>
        </w:tc>
        <w:tc>
          <w:tcPr>
            <w:tcW w:type="dxa" w:w="328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b w:val="false"/>
                <w:bCs w:val="false"/>
                <w:color w:val="222222"/>
                <w:sz w:val="22"/>
                <w:szCs w:val="22"/>
              </w:rPr>
              <w:t xml:space="preserve">Basis rotation in ℋ</w:t>
            </w:r>
          </w:p>
        </w:tc>
        <w:tc>
          <w:tcPr>
            <w:tcW w:type="dxa" w:w="328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b w:val="false"/>
                <w:bCs w:val="false"/>
                <w:color w:val="222222"/>
                <w:sz w:val="22"/>
                <w:szCs w:val="22"/>
              </w:rPr>
              <w:t xml:space="preserve">Encoder fθ: ᵋ → ℤ</w:t>
            </w:r>
          </w:p>
        </w:tc>
      </w:tr>
      <w:tr>
        <w:tc>
          <w:tcPr>
            <w:tcW w:type="dxa" w:w="28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Cambria Math" w:cs="Cambria Math" w:eastAsia="Cambria Math" w:hAnsi="Cambria Math"/>
                <w:b w:val="false"/>
                <w:bCs w:val="false"/>
                <w:i/>
                <w:iCs/>
                <w:color w:val="222222"/>
                <w:sz w:val="22"/>
                <w:szCs w:val="22"/>
              </w:rPr>
              <w:t xml:space="preserve">Coherent state |α(t)⟩</w:t>
            </w:r>
          </w:p>
        </w:tc>
        <w:tc>
          <w:tcPr>
            <w:tcW w:type="dxa" w:w="328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b w:val="false"/>
                <w:bCs w:val="false"/>
                <w:color w:val="222222"/>
                <w:sz w:val="22"/>
                <w:szCs w:val="22"/>
              </w:rPr>
              <w:t xml:space="preserve">Minimum-uncertainty trajectory</w:t>
            </w:r>
          </w:p>
        </w:tc>
        <w:tc>
          <w:tcPr>
            <w:tcW w:type="dxa" w:w="328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b w:val="false"/>
                <w:bCs w:val="false"/>
                <w:color w:val="222222"/>
                <w:sz w:val="22"/>
                <w:szCs w:val="22"/>
              </w:rPr>
              <w:t xml:space="preserve">Semantic tube T = {ẑ_t}</w:t>
            </w:r>
          </w:p>
        </w:tc>
      </w:tr>
    </w:tbl>
    <w:p>
      <w:pPr>
        <w:spacing w:after="160"/>
      </w:pPr>
    </w:p>
    <w:p>
      <w:pPr>
        <w:pStyle w:val="Heading1"/>
      </w:pPr>
      <w:r>
        <w:rPr>
          <w:rFonts w:ascii="Arial" w:cs="Arial" w:eastAsia="Arial" w:hAnsi="Arial"/>
        </w:rPr>
        <w:t xml:space="preserve">4. Deriving the Semantic Hamiltonian</w:t>
      </w:r>
    </w:p>
    <w:p>
      <w:pPr>
        <w:spacing w:after="160"/>
      </w:pPr>
      <w:r>
        <w:rPr>
          <w:rFonts w:ascii="Arial" w:cs="Arial" w:eastAsia="Arial" w:hAnsi="Arial"/>
          <w:sz w:val="24"/>
          <w:szCs w:val="24"/>
        </w:rPr>
        <w:t xml:space="preserve">This is the central new contribution of this section. The Semantic Hamiltonian is not postulated independently — it is derived by Legendre transform from the Lagrangian already defined in the paper, and then promoted to a second-quantised operator on F(ℋ).</w:t>
      </w:r>
    </w:p>
    <w:p>
      <w:pPr>
        <w:spacing w:after="80"/>
      </w:pPr>
    </w:p>
    <w:p>
      <w:pPr>
        <w:pStyle w:val="Heading2"/>
      </w:pPr>
      <w:r>
        <w:rPr>
          <w:rFonts w:ascii="Arial" w:cs="Arial" w:eastAsia="Arial" w:hAnsi="Arial"/>
        </w:rPr>
        <w:t xml:space="preserve">Step 1 — The Lagrangian from the Paper</w:t>
      </w:r>
    </w:p>
    <w:p>
      <w:pPr>
        <w:spacing w:after="160"/>
      </w:pPr>
      <w:r>
        <w:rPr>
          <w:rFonts w:ascii="Arial" w:cs="Arial" w:eastAsia="Arial" w:hAnsi="Arial"/>
          <w:sz w:val="24"/>
          <w:szCs w:val="24"/>
        </w:rPr>
        <w:t xml:space="preserve">The paper defines a Lagrangian L = T − V with kinetic term T and Gaussian semantic energy well V:</w:t>
      </w:r>
    </w:p>
    <w:p>
      <w:pPr>
        <w:spacing w:after="120" w:before="120"/>
        <w:jc w:val="center"/>
      </w:pPr>
      <w:r>
        <w:rPr>
          <w:rFonts w:ascii="Cambria Math" w:cs="Cambria Math" w:eastAsia="Cambria Math" w:hAnsi="Cambria Math"/>
          <w:i/>
          <w:iCs/>
          <w:sz w:val="24"/>
          <w:szCs w:val="24"/>
        </w:rPr>
        <w:t xml:space="preserve">L  =  ½ m ‖ẋ‖²  −  mυ²(1 − e^{−κ‖x‖²})</w:t>
      </w:r>
    </w:p>
    <w:p>
      <w:pPr>
        <w:spacing w:after="160"/>
      </w:pPr>
      <w:r>
        <w:rPr>
          <w:rFonts w:ascii="Arial" w:cs="Arial" w:eastAsia="Arial" w:hAnsi="Arial"/>
          <w:sz w:val="24"/>
          <w:szCs w:val="24"/>
        </w:rPr>
        <w:t xml:space="preserve">where m is the semantic mass, υ the asymptotic speed, κ = f/υ the shape parameter determined by the force constant f, and x ∈ ℤ is the position in representation space. The Euler–Lagrange equations reproduce damped second-order dynamics with a tanh braking term near bound states.</w:t>
      </w:r>
    </w:p>
    <w:p>
      <w:pPr>
        <w:spacing w:after="80"/>
      </w:pPr>
    </w:p>
    <w:p>
      <w:pPr>
        <w:pStyle w:val="Heading2"/>
      </w:pPr>
      <w:r>
        <w:rPr>
          <w:rFonts w:ascii="Arial" w:cs="Arial" w:eastAsia="Arial" w:hAnsi="Arial"/>
        </w:rPr>
        <w:t xml:space="preserve">Step 2 — Legendre Transform to the Hamiltonian</w:t>
      </w:r>
    </w:p>
    <w:p>
      <w:pPr>
        <w:spacing w:after="160"/>
      </w:pPr>
      <w:r>
        <w:rPr>
          <w:rFonts w:ascii="Arial" w:cs="Arial" w:eastAsia="Arial" w:hAnsi="Arial"/>
          <w:sz w:val="24"/>
          <w:szCs w:val="24"/>
        </w:rPr>
        <w:t xml:space="preserve">Define the canonical momentum conjugate to x:</w:t>
      </w:r>
    </w:p>
    <w:p>
      <w:pPr>
        <w:spacing w:after="120" w:before="120"/>
        <w:jc w:val="center"/>
      </w:pPr>
      <w:r>
        <w:rPr>
          <w:rFonts w:ascii="Cambria Math" w:cs="Cambria Math" w:eastAsia="Cambria Math" w:hAnsi="Cambria Math"/>
          <w:i/>
          <w:iCs/>
          <w:sz w:val="24"/>
          <w:szCs w:val="24"/>
        </w:rPr>
        <w:t xml:space="preserve">p  =  ∂L/∂ẋ  =  mẋ</w:t>
      </w:r>
    </w:p>
    <w:p>
      <w:pPr>
        <w:spacing w:after="160"/>
      </w:pPr>
      <w:r>
        <w:rPr>
          <w:rFonts w:ascii="Arial" w:cs="Arial" w:eastAsia="Arial" w:hAnsi="Arial"/>
          <w:sz w:val="24"/>
          <w:szCs w:val="24"/>
        </w:rPr>
        <w:t xml:space="preserve">The Hamiltonian is obtained by the Legendre transform H(x, p) = p · ẋ − L, giving:</w:t>
      </w:r>
    </w:p>
    <w:p>
      <w:pPr>
        <w:spacing w:after="120" w:before="120"/>
        <w:jc w:val="center"/>
      </w:pPr>
      <w:r>
        <w:rPr>
          <w:rFonts w:ascii="Cambria Math" w:cs="Cambria Math" w:eastAsia="Cambria Math" w:hAnsi="Cambria Math"/>
          <w:i/>
          <w:iCs/>
          <w:sz w:val="24"/>
          <w:szCs w:val="24"/>
        </w:rPr>
        <w:t xml:space="preserve">H(x, p)  =  ‖p‖² / 2m  +  mυ²(1 − e^{−κ‖x‖²})</w:t>
      </w:r>
    </w:p>
    <w:p>
      <w:pPr>
        <w:spacing w:after="160"/>
      </w:pPr>
      <w:r>
        <w:rPr>
          <w:rFonts w:ascii="Arial" w:cs="Arial" w:eastAsia="Arial" w:hAnsi="Arial"/>
          <w:sz w:val="24"/>
          <w:szCs w:val="24"/>
        </w:rPr>
        <w:t xml:space="preserve">This is the Semantic Hamiltonian: the total mechanical energy T + V on the semantic phase space (x, p) ∈ T*ℤ. It governs conservative dynamics on the cotangent bundle of the representation manifold.</w:t>
      </w:r>
    </w:p>
    <w:p>
      <w:pPr>
        <w:spacing w:after="80" w:before="80"/>
        <w:ind w:left="720"/>
      </w:pPr>
      <w:r>
        <w:rPr>
          <w:rFonts w:ascii="Arial" w:cs="Arial" w:eastAsia="Arial" w:hAnsi="Arial"/>
          <w:i/>
          <w:iCs/>
          <w:color w:val="555555"/>
          <w:sz w:val="22"/>
          <w:szCs w:val="22"/>
        </w:rPr>
        <w:t xml:space="preserve">Important caveat: the velocity-dependent damping term (the tanh braking factor) in the full Euler–Lagrange equations is not captured by this conservative H. This is addressed in Section 6.</w:t>
      </w:r>
    </w:p>
    <w:p>
      <w:pPr>
        <w:spacing w:after="80"/>
      </w:pPr>
    </w:p>
    <w:p>
      <w:pPr>
        <w:pStyle w:val="Heading2"/>
      </w:pPr>
      <w:r>
        <w:rPr>
          <w:rFonts w:ascii="Arial" w:cs="Arial" w:eastAsia="Arial" w:hAnsi="Arial"/>
        </w:rPr>
        <w:t xml:space="preserve">Step 3 — Mode Expansion (Linearisation Near the Well Minimum)</w:t>
      </w:r>
    </w:p>
    <w:p>
      <w:pPr>
        <w:spacing w:after="160"/>
      </w:pPr>
      <w:r>
        <w:rPr>
          <w:rFonts w:ascii="Arial" w:cs="Arial" w:eastAsia="Arial" w:hAnsi="Arial"/>
          <w:sz w:val="24"/>
          <w:szCs w:val="24"/>
        </w:rPr>
        <w:t xml:space="preserve">Expand around the energy well minimum x* = 0. The Hessian of V at the origin is:</w:t>
      </w:r>
    </w:p>
    <w:p>
      <w:pPr>
        <w:spacing w:after="120" w:before="120"/>
        <w:jc w:val="center"/>
      </w:pPr>
      <w:r>
        <w:rPr>
          <w:rFonts w:ascii="Cambria Math" w:cs="Cambria Math" w:eastAsia="Cambria Math" w:hAnsi="Cambria Math"/>
          <w:i/>
          <w:iCs/>
          <w:sz w:val="24"/>
          <w:szCs w:val="24"/>
        </w:rPr>
        <w:t xml:space="preserve">∂²V/∂xᵢ∂xᵣ |_{x=0}  =  2κ m υ² δᵢᵣ</w:t>
      </w:r>
    </w:p>
    <w:p>
      <w:pPr>
        <w:spacing w:after="160"/>
      </w:pPr>
      <w:r>
        <w:rPr>
          <w:rFonts w:ascii="Arial" w:cs="Arial" w:eastAsia="Arial" w:hAnsi="Arial"/>
          <w:sz w:val="24"/>
          <w:szCs w:val="24"/>
        </w:rPr>
        <w:t xml:space="preserve">The Hessian is isotropic for the Gaussian well: all normal-mode frequencies are equal, ωₖ² = 2κυ². The normal modes φₖ are therefore the coordinate eigendirections of ℤ. This is a strong structural result: the semantic particles |sₖ⟩ are the coordinate basis vectors of the learned representation space, grounded in the energy well geometry rather than postulated.</w:t>
      </w:r>
    </w:p>
    <w:p>
      <w:pPr>
        <w:spacing w:after="80"/>
      </w:pPr>
    </w:p>
    <w:p>
      <w:pPr>
        <w:pStyle w:val="Heading2"/>
      </w:pPr>
      <w:r>
        <w:rPr>
          <w:rFonts w:ascii="Arial" w:cs="Arial" w:eastAsia="Arial" w:hAnsi="Arial"/>
        </w:rPr>
        <w:t xml:space="preserve">Step 4 — Second Quantisation (The Fock Step)</w:t>
      </w:r>
    </w:p>
    <w:p>
      <w:pPr>
        <w:spacing w:after="160"/>
      </w:pPr>
      <w:r>
        <w:rPr>
          <w:rFonts w:ascii="Arial" w:cs="Arial" w:eastAsia="Arial" w:hAnsi="Arial"/>
          <w:sz w:val="24"/>
          <w:szCs w:val="24"/>
        </w:rPr>
        <w:t xml:space="preserve">Promote x and p to operators by expanding in the normal-mode basis:</w:t>
      </w:r>
    </w:p>
    <w:p>
      <w:pPr>
        <w:spacing w:after="120" w:before="120"/>
        <w:jc w:val="center"/>
      </w:pPr>
      <w:r>
        <w:rPr>
          <w:rFonts w:ascii="Cambria Math" w:cs="Cambria Math" w:eastAsia="Cambria Math" w:hAnsi="Cambria Math"/>
          <w:i/>
          <w:iCs/>
          <w:sz w:val="24"/>
          <w:szCs w:val="24"/>
        </w:rPr>
        <w:t xml:space="preserve">x̂  =  Σₖ (1/√(2mωₖ)) (aₖ + aₖⁿ)</w:t>
      </w:r>
    </w:p>
    <w:p>
      <w:pPr>
        <w:spacing w:after="120" w:before="120"/>
        <w:jc w:val="center"/>
      </w:pPr>
      <w:r>
        <w:rPr>
          <w:rFonts w:ascii="Cambria Math" w:cs="Cambria Math" w:eastAsia="Cambria Math" w:hAnsi="Cambria Math"/>
          <w:i/>
          <w:iCs/>
          <w:sz w:val="24"/>
          <w:szCs w:val="24"/>
        </w:rPr>
        <w:t xml:space="preserve">p̂  =  Σₖ i√(mωₖ/2) (aₖⁿ − aₖ)</w:t>
      </w:r>
    </w:p>
    <w:p>
      <w:pPr>
        <w:spacing w:after="160"/>
      </w:pPr>
      <w:r>
        <w:rPr>
          <w:rFonts w:ascii="Arial" w:cs="Arial" w:eastAsia="Arial" w:hAnsi="Arial"/>
          <w:sz w:val="24"/>
          <w:szCs w:val="24"/>
        </w:rPr>
        <w:t xml:space="preserve">Substituting into H and normal-ordering gives the second-quantised Semantic Hamiltonian:</w:t>
      </w:r>
    </w:p>
    <w:p>
      <w:pPr>
        <w:spacing w:after="120" w:before="120"/>
        <w:jc w:val="center"/>
      </w:pPr>
      <w:r>
        <w:rPr>
          <w:rFonts w:ascii="Cambria Math" w:cs="Cambria Math" w:eastAsia="Cambria Math" w:hAnsi="Cambria Math"/>
          <w:i/>
          <w:iCs/>
          <w:sz w:val="24"/>
          <w:szCs w:val="24"/>
        </w:rPr>
        <w:t xml:space="preserve">Ĥ  =  Σₖ ωₖ (aₖⁿ aₖ + ½)  +  Σ_{klmn} V_{klmn} aₖⁿ aₗⁿ a_m a_n  +  ···</w:t>
      </w:r>
    </w:p>
    <w:p>
      <w:pPr>
        <w:spacing w:after="160"/>
      </w:pPr>
      <w:r>
        <w:rPr>
          <w:rFonts w:ascii="Arial" w:cs="Arial" w:eastAsia="Arial" w:hAnsi="Arial"/>
          <w:sz w:val="24"/>
          <w:szCs w:val="24"/>
        </w:rPr>
        <w:t xml:space="preserve">The first term is the free-field Fock structure with occupation-number energy. The second term contains quartic interaction vertices arising from the non-linear Gaussian potential — these encode non-linear semantic composition, the coupling between semantic particles that goes beyond simple superposition. Higher-order terms in the Taylor expansion of V contribute 6-point, 8-point, … interactions of decreasing magnitude.</w:t>
      </w:r>
    </w:p>
    <w:p>
      <w:pPr>
        <w:spacing w:after="80"/>
      </w:pPr>
    </w:p>
    <w:p>
      <w:pPr>
        <w:pStyle w:val="Heading2"/>
      </w:pPr>
      <w:r>
        <w:rPr>
          <w:rFonts w:ascii="Arial" w:cs="Arial" w:eastAsia="Arial" w:hAnsi="Arial"/>
        </w:rPr>
        <w:t xml:space="preserve">Step 5 — The Basis is Learned, Not Fixed</w:t>
      </w:r>
    </w:p>
    <w:p>
      <w:pPr>
        <w:spacing w:after="160"/>
      </w:pPr>
      <w:r>
        <w:rPr>
          <w:rFonts w:ascii="Arial" w:cs="Arial" w:eastAsia="Arial" w:hAnsi="Arial"/>
          <w:sz w:val="24"/>
          <w:szCs w:val="24"/>
        </w:rPr>
        <w:t xml:space="preserve">The normal modes φₖ that diagonalise Ĥ depend on the learned parameters of V (specifically κ and υ). The encoder fθ implements a Bogoliubov transformation:</w:t>
      </w:r>
    </w:p>
    <w:p>
      <w:pPr>
        <w:spacing w:after="120" w:before="120"/>
        <w:jc w:val="center"/>
      </w:pPr>
      <w:r>
        <w:rPr>
          <w:rFonts w:ascii="Cambria Math" w:cs="Cambria Math" w:eastAsia="Cambria Math" w:hAnsi="Cambria Math"/>
          <w:i/>
          <w:iCs/>
          <w:sz w:val="24"/>
          <w:szCs w:val="24"/>
        </w:rPr>
        <w:t xml:space="preserve">ãₖ  =  Σⱼ (uₖⱼ aⱼ  +  vₖⱼ aⱼⁿ)</w:t>
      </w:r>
    </w:p>
    <w:p>
      <w:pPr>
        <w:spacing w:after="160"/>
      </w:pPr>
      <w:r>
        <w:rPr>
          <w:rFonts w:ascii="Arial" w:cs="Arial" w:eastAsia="Arial" w:hAnsi="Arial"/>
          <w:sz w:val="24"/>
          <w:szCs w:val="24"/>
        </w:rPr>
        <w:t xml:space="preserve">which rotates the observable-space basis into the latent representation basis. Two different encoders (two different learned V) induce two different sets of semantic particles. The SIGReg / Cramér–Wald regularisation objective enforces orthogonality of the learned modes — it kills off-diagonal elements Jₖₗ in the bilinear part of Ĥ — which is precisely the condition that the Fock basis is well-defined and non-redundant.</w:t>
      </w:r>
    </w:p>
    <w:p>
      <w:pPr>
        <w:pBdr>
          <w:bottom w:val="single" w:color="2E75B6" w:sz="4" w:space="1"/>
        </w:pBdr>
        <w:spacing w:after="200" w:before="200"/>
      </w:pPr>
    </w:p>
    <w:p>
      <w:pPr>
        <w:pStyle w:val="Heading1"/>
      </w:pPr>
      <w:r>
        <w:rPr>
          <w:rFonts w:ascii="Arial" w:cs="Arial" w:eastAsia="Arial" w:hAnsi="Arial"/>
        </w:rPr>
        <w:t xml:space="preserve">5. Modeling the Creation of Semantic Structures</w:t>
      </w:r>
    </w:p>
    <w:p>
      <w:pPr>
        <w:spacing w:after="160"/>
      </w:pPr>
      <w:r>
        <w:rPr>
          <w:rFonts w:ascii="Arial" w:cs="Arial" w:eastAsia="Arial" w:hAnsi="Arial"/>
          <w:sz w:val="24"/>
          <w:szCs w:val="24"/>
        </w:rPr>
        <w:t xml:space="preserve">With the Semantic Hamiltonian in hand, we can now answer the central question: how does Ĥ actually model the creation of semantic structure? The answer operates at three nested levels — operator action, perturbative accumulation via the Dyson series, and the classical coherent-state limit that recovers the STP predictor.</w:t>
      </w:r>
    </w:p>
    <w:p>
      <w:pPr>
        <w:spacing w:after="80"/>
      </w:pPr>
    </w:p>
    <w:p>
      <w:pPr>
        <w:pStyle w:val="Heading2"/>
      </w:pPr>
      <w:r>
        <w:rPr>
          <w:rFonts w:ascii="Arial" w:cs="Arial" w:eastAsia="Arial" w:hAnsi="Arial"/>
        </w:rPr>
        <w:t xml:space="preserve">5.1  The Fundamental Mechanism: Time Evolution</w:t>
      </w:r>
    </w:p>
    <w:p>
      <w:pPr>
        <w:spacing w:after="160"/>
      </w:pPr>
      <w:r>
        <w:rPr>
          <w:rFonts w:ascii="Arial" w:cs="Arial" w:eastAsia="Arial" w:hAnsi="Arial"/>
          <w:sz w:val="24"/>
          <w:szCs w:val="24"/>
        </w:rPr>
        <w:t xml:space="preserve">The Semantic Hamiltonian governs how semantic states evolve through the time evolution operator:</w:t>
      </w:r>
    </w:p>
    <w:p>
      <w:pPr>
        <w:spacing w:after="120" w:before="120"/>
        <w:jc w:val="center"/>
      </w:pPr>
      <w:r>
        <w:rPr>
          <w:rFonts w:ascii="Cambria Math" w:cs="Cambria Math" w:eastAsia="Cambria Math" w:hAnsi="Cambria Math"/>
          <w:i/>
          <w:iCs/>
          <w:sz w:val="24"/>
          <w:szCs w:val="24"/>
        </w:rPr>
        <w:t xml:space="preserve">U(Δt)  =  e^{−iĦΔt}</w:t>
      </w:r>
    </w:p>
    <w:p>
      <w:pPr>
        <w:spacing w:after="160"/>
      </w:pPr>
      <w:r>
        <w:rPr>
          <w:rFonts w:ascii="Arial" w:cs="Arial" w:eastAsia="Arial" w:hAnsi="Arial"/>
          <w:sz w:val="24"/>
          <w:szCs w:val="24"/>
        </w:rPr>
        <w:t xml:space="preserve">Starting from any state |ψ_t⟩, the state at the next step is:</w:t>
      </w:r>
    </w:p>
    <w:p>
      <w:pPr>
        <w:spacing w:after="120" w:before="120"/>
        <w:jc w:val="center"/>
      </w:pPr>
      <w:r>
        <w:rPr>
          <w:rFonts w:ascii="Cambria Math" w:cs="Cambria Math" w:eastAsia="Cambria Math" w:hAnsi="Cambria Math"/>
          <w:i/>
          <w:iCs/>
          <w:sz w:val="24"/>
          <w:szCs w:val="24"/>
        </w:rPr>
        <w:t xml:space="preserve">|ψ_{t+Δt}⟩  =  U(Δt)|ψ_t⟩  =  e^{−iĦΔt}|ψ_t⟩</w:t>
      </w:r>
    </w:p>
    <w:p>
      <w:pPr>
        <w:spacing w:after="160"/>
      </w:pPr>
      <w:r>
        <w:rPr>
          <w:rFonts w:ascii="Arial" w:cs="Arial" w:eastAsia="Arial" w:hAnsi="Arial"/>
          <w:sz w:val="24"/>
          <w:szCs w:val="24"/>
        </w:rPr>
        <w:t xml:space="preserve">This is the fundamental creation mechanism. The layer index ℓ in a transformer plays the role of discrete time t: each transformer layer applies one step of U(Δt). The question then reduces to which parts of Ħ drive transitions between n-particle sectors — i.e., which parts create new semantic structure.</w:t>
      </w:r>
    </w:p>
    <w:p>
      <w:pPr>
        <w:spacing w:after="80"/>
      </w:pPr>
    </w:p>
    <w:p>
      <w:pPr>
        <w:pStyle w:val="Heading2"/>
      </w:pPr>
      <w:r>
        <w:rPr>
          <w:rFonts w:ascii="Arial" w:cs="Arial" w:eastAsia="Arial" w:hAnsi="Arial"/>
        </w:rPr>
        <w:t xml:space="preserve">5.2  Two Distinct Roles in Ħ</w:t>
      </w:r>
    </w:p>
    <w:p>
      <w:pPr>
        <w:spacing w:after="160"/>
      </w:pPr>
      <w:r>
        <w:rPr>
          <w:rFonts w:ascii="Arial" w:cs="Arial" w:eastAsia="Arial" w:hAnsi="Arial"/>
          <w:sz w:val="24"/>
          <w:szCs w:val="24"/>
        </w:rPr>
        <w:t xml:space="preserve">Recall the second-quantised Hamiltonian derived in Section 4:</w:t>
      </w:r>
    </w:p>
    <w:p>
      <w:pPr>
        <w:spacing w:after="120" w:before="120"/>
        <w:jc w:val="center"/>
      </w:pPr>
      <w:r>
        <w:rPr>
          <w:rFonts w:ascii="Cambria Math" w:cs="Cambria Math" w:eastAsia="Cambria Math" w:hAnsi="Cambria Math"/>
          <w:i/>
          <w:iCs/>
          <w:sz w:val="24"/>
          <w:szCs w:val="24"/>
        </w:rPr>
        <w:t xml:space="preserve">Ħ  =  Σₖ ωₖ(aₖⁿ aₖ + ½)  +  Σ_{klmn} V_{klmn} aₖⁿ aₗⁿ a_m a_n  +  ···</w:t>
      </w:r>
    </w:p>
    <w:p>
      <w:pPr>
        <w:spacing w:after="160"/>
      </w:pPr>
      <w:r>
        <w:rPr>
          <w:rFonts w:ascii="Arial" w:cs="Arial" w:eastAsia="Arial" w:hAnsi="Arial"/>
          <w:sz w:val="24"/>
          <w:szCs w:val="24"/>
        </w:rPr>
        <w:t xml:space="preserve">The two terms play fundamentally different roles in the creation of semantic structure:</w:t>
      </w:r>
    </w:p>
    <w:p>
      <w:pPr>
        <w:spacing w:after="80"/>
      </w:pPr>
    </w:p>
    <w:p>
      <w:pPr>
        <w:spacing w:after="80"/>
      </w:pPr>
      <w:r>
        <w:rPr>
          <w:rFonts w:ascii="Arial" w:cs="Arial" w:eastAsia="Arial" w:hAnsi="Arial"/>
          <w:b/>
          <w:bCs/>
          <w:sz w:val="24"/>
          <w:szCs w:val="24"/>
        </w:rPr>
        <w:t xml:space="preserve">Ħ₀ (free field) creates nothing. </w:t>
      </w:r>
      <w:r>
        <w:rPr>
          <w:rFonts w:ascii="Arial" w:cs="Arial" w:eastAsia="Arial" w:hAnsi="Arial"/>
          <w:sz w:val="24"/>
          <w:szCs w:val="24"/>
        </w:rPr>
        <w:t xml:space="preserve">The free-field term Σₖ ωₖ aₖⁿ aₖ causes existing semantic particles to rotate in phase space at their natural frequencies ωₖ. Starting from |s₁⟩, applying e^{−iĦ₀t} gives e^{−iω_{s₁}t}|s₁⟩ — the same concept, phase-rotated. No new structure, no change in compositional depth. It is the propagator of existing semantic content.</w:t>
      </w:r>
    </w:p>
    <w:p>
      <w:pPr>
        <w:spacing w:after="160"/>
      </w:pPr>
      <w:r>
        <w:rPr>
          <w:rFonts w:ascii="Arial" w:cs="Arial" w:eastAsia="Arial" w:hAnsi="Arial"/>
          <w:b/>
          <w:bCs/>
          <w:sz w:val="24"/>
          <w:szCs w:val="24"/>
        </w:rPr>
        <w:t xml:space="preserve">Ħ_{int} is the creation engine. </w:t>
      </w:r>
      <w:r>
        <w:rPr>
          <w:rFonts w:ascii="Arial" w:cs="Arial" w:eastAsia="Arial" w:hAnsi="Arial"/>
          <w:sz w:val="24"/>
          <w:szCs w:val="24"/>
        </w:rPr>
        <w:t xml:space="preserve">The quartic vertex aₖⁿ aₗⁿ a_m a_n performs one atomic semantic operation: it annihilates concepts m and n from the current state and creates concepts k and l in their place. This is semantic fusion and transformation — the mechanism by which compositional structure of higher depth is built from simpler components. The coupling strength V_{klmn} is determined by the Taylor expansion of the Gaussian energy well, so the geometry of the potential directly controls which semantic combinations are energetically favoured.</w:t>
      </w:r>
    </w:p>
    <w:p>
      <w:pPr>
        <w:pStyle w:val="Heading2"/>
      </w:pPr>
      <w:r>
        <w:rPr>
          <w:rFonts w:ascii="Arial" w:cs="Arial" w:eastAsia="Arial" w:hAnsi="Arial"/>
        </w:rPr>
        <w:t xml:space="preserve">5.3  The Quartic Vertex as Atomic Semantic Operation</w:t>
      </w:r>
    </w:p>
    <w:p>
      <w:pPr>
        <w:spacing w:after="160"/>
      </w:pPr>
      <w:r>
        <w:rPr>
          <w:rFonts w:ascii="Arial" w:cs="Arial" w:eastAsia="Arial" w:hAnsi="Arial"/>
          <w:sz w:val="24"/>
          <w:szCs w:val="24"/>
        </w:rPr>
        <w:t xml:space="preserve">The quartic vertex V_{klmn} aₖⁿ aₗⁿ a_m a_n is the indivisible unit of semantic creation. Reading it left-to-right:</w:t>
      </w:r>
    </w:p>
    <w:p>
      <w:pPr>
        <w:pStyle w:val="ListParagraph"/>
        <w:numPr>
          <w:ilvl w:val="0"/>
          <w:numId w:val="2"/>
        </w:numPr>
        <w:spacing w:after="80"/>
      </w:pPr>
      <w:r>
        <w:rPr>
          <w:rFonts w:ascii="Arial" w:cs="Arial" w:eastAsia="Arial" w:hAnsi="Arial"/>
          <w:sz w:val="24"/>
          <w:szCs w:val="24"/>
        </w:rPr>
        <w:t xml:space="preserve">a_m and a_n annihilate concepts m and n from the current state — they are consumed.</w:t>
      </w:r>
    </w:p>
    <w:p>
      <w:pPr>
        <w:pStyle w:val="ListParagraph"/>
        <w:numPr>
          <w:ilvl w:val="0"/>
          <w:numId w:val="2"/>
        </w:numPr>
        <w:spacing w:after="80"/>
      </w:pPr>
      <w:r>
        <w:rPr>
          <w:rFonts w:ascii="Arial" w:cs="Arial" w:eastAsia="Arial" w:hAnsi="Arial"/>
          <w:sz w:val="24"/>
          <w:szCs w:val="24"/>
        </w:rPr>
        <w:t xml:space="preserve">aₖⁿ and aₗⁿ create concepts k and l in the resulting state — they are produced.</w:t>
      </w:r>
    </w:p>
    <w:p>
      <w:pPr>
        <w:pStyle w:val="ListParagraph"/>
        <w:numPr>
          <w:ilvl w:val="0"/>
          <w:numId w:val="2"/>
        </w:numPr>
        <w:spacing w:after="160"/>
      </w:pPr>
      <w:r>
        <w:rPr>
          <w:rFonts w:ascii="Arial" w:cs="Arial" w:eastAsia="Arial" w:hAnsi="Arial"/>
          <w:sz w:val="24"/>
          <w:szCs w:val="24"/>
        </w:rPr>
        <w:t xml:space="preserve">The amplitude V_{klmn} — a Taylor coefficient of the Gaussian well — determines how strongly this particular combination is favoured.</w:t>
      </w:r>
    </w:p>
    <w:p>
      <w:pPr>
        <w:spacing w:after="160"/>
      </w:pPr>
      <w:r>
        <w:rPr>
          <w:rFonts w:ascii="Arial" w:cs="Arial" w:eastAsia="Arial" w:hAnsi="Arial"/>
          <w:sz w:val="24"/>
          <w:szCs w:val="24"/>
        </w:rPr>
        <w:t xml:space="preserve">The Heisenberg equation of motion for mode k encodes this explicitly:</w:t>
      </w:r>
    </w:p>
    <w:p>
      <w:pPr>
        <w:spacing w:after="120" w:before="120"/>
        <w:jc w:val="center"/>
      </w:pPr>
      <w:r>
        <w:rPr>
          <w:rFonts w:ascii="Cambria Math" w:cs="Cambria Math" w:eastAsia="Cambria Math" w:hAnsi="Cambria Math"/>
          <w:i/>
          <w:iCs/>
          <w:sz w:val="24"/>
          <w:szCs w:val="24"/>
        </w:rPr>
        <w:t xml:space="preserve">daₖ/dt  =  i[Ħ, aₖ]  =  −iωₖ aₖ  −  iΣ_{lmn} V_{klmn} aₗⁿ a_m a_n</w:t>
      </w:r>
    </w:p>
    <w:p>
      <w:pPr>
        <w:spacing w:after="160"/>
      </w:pPr>
      <w:r>
        <w:rPr>
          <w:rFonts w:ascii="Arial" w:cs="Arial" w:eastAsia="Arial" w:hAnsi="Arial"/>
          <w:sz w:val="24"/>
          <w:szCs w:val="24"/>
        </w:rPr>
        <w:t xml:space="preserve">The second term on the right is precisely the statement that concept k is generated by the joint action of concepts m and n combining, mediated through the coupling V_{klmn}. The Gaussian well curvature κ controls the overall scale of all these couplings; the asymptotic speed υ sets their energy dimension. Both are parameters already present in the paper.</w:t>
      </w:r>
    </w:p>
    <w:p>
      <w:pPr>
        <w:spacing w:after="80"/>
      </w:pPr>
    </w:p>
    <w:p>
      <w:pPr>
        <w:pStyle w:val="Heading2"/>
      </w:pPr>
      <w:r>
        <w:rPr>
          <w:rFonts w:ascii="Arial" w:cs="Arial" w:eastAsia="Arial" w:hAnsi="Arial"/>
        </w:rPr>
        <w:t xml:space="preserve">5.4  The Dyson Series: Compositional Depth Accumulates Perturbatively</w:t>
      </w:r>
    </w:p>
    <w:p>
      <w:pPr>
        <w:spacing w:after="160"/>
      </w:pPr>
      <w:r>
        <w:rPr>
          <w:rFonts w:ascii="Arial" w:cs="Arial" w:eastAsia="Arial" w:hAnsi="Arial"/>
          <w:sz w:val="24"/>
          <w:szCs w:val="24"/>
        </w:rPr>
        <w:t xml:space="preserve">Splitting Ħ = Ħ₀ + Ħ_{int} and moving to the interaction picture, the time evolution becomes a Dyson series:</w:t>
      </w:r>
    </w:p>
    <w:p>
      <w:pPr>
        <w:spacing w:after="120" w:before="120"/>
        <w:jc w:val="center"/>
      </w:pPr>
      <w:r>
        <w:rPr>
          <w:rFonts w:ascii="Cambria Math" w:cs="Cambria Math" w:eastAsia="Cambria Math" w:hAnsi="Cambria Math"/>
          <w:i/>
          <w:iCs/>
          <w:sz w:val="24"/>
          <w:szCs w:val="24"/>
        </w:rPr>
        <w:t xml:space="preserve">U(Δt)  =  ᵔ0  −  i∫₀^{Δt} Ħ_{int}(t₁) dt₁  +  (−i)²∫₀^{Δt}∫₀^{t₁} Ħ_{int}(t₁)Ħ_{int}(t₂) dt₂ dt₁  +  ···</w:t>
      </w:r>
    </w:p>
    <w:p>
      <w:pPr>
        <w:spacing w:after="160"/>
      </w:pPr>
      <w:r>
        <w:rPr>
          <w:rFonts w:ascii="Arial" w:cs="Arial" w:eastAsia="Arial" w:hAnsi="Arial"/>
          <w:sz w:val="24"/>
          <w:szCs w:val="24"/>
        </w:rPr>
        <w:t xml:space="preserve">Each order of this expansion corresponds to a different depth of semantic construction:</w:t>
      </w:r>
    </w:p>
    <w:p>
      <w:pPr>
        <w:pStyle w:val="ListParagraph"/>
        <w:numPr>
          <w:ilvl w:val="0"/>
          <w:numId w:val="3"/>
        </w:numPr>
        <w:spacing w:after="60"/>
      </w:pPr>
      <w:r>
        <w:rPr>
          <w:rFonts w:ascii="Arial" w:cs="Arial" w:eastAsia="Arial" w:hAnsi="Arial"/>
          <w:b/>
          <w:bCs/>
          <w:sz w:val="24"/>
          <w:szCs w:val="24"/>
        </w:rPr>
        <w:t xml:space="preserve">Zeroth order (ᵔ0): </w:t>
      </w:r>
      <w:r>
        <w:rPr>
          <w:rFonts w:ascii="Arial" w:cs="Arial" w:eastAsia="Arial" w:hAnsi="Arial"/>
          <w:sz w:val="24"/>
          <w:szCs w:val="24"/>
        </w:rPr>
        <w:t xml:space="preserve">state unchanged. The identity operation — semantic content is simply held.</w:t>
      </w:r>
    </w:p>
    <w:p>
      <w:pPr>
        <w:pStyle w:val="ListParagraph"/>
        <w:numPr>
          <w:ilvl w:val="0"/>
          <w:numId w:val="3"/>
        </w:numPr>
        <w:spacing w:after="60"/>
      </w:pPr>
      <w:r>
        <w:rPr>
          <w:rFonts w:ascii="Arial" w:cs="Arial" w:eastAsia="Arial" w:hAnsi="Arial"/>
          <w:b/>
          <w:bCs/>
          <w:sz w:val="24"/>
          <w:szCs w:val="24"/>
        </w:rPr>
        <w:t xml:space="preserve">First order (Ħ_{int}): </w:t>
      </w:r>
      <w:r>
        <w:rPr>
          <w:rFonts w:ascii="Arial" w:cs="Arial" w:eastAsia="Arial" w:hAnsi="Arial"/>
          <w:sz w:val="24"/>
          <w:szCs w:val="24"/>
        </w:rPr>
        <w:t xml:space="preserve">one semantic interaction event. Two concepts fuse or transform into two new concepts. The state moves from the n-particle sector partially into the (n+2)-particle sector.</w:t>
      </w:r>
    </w:p>
    <w:p>
      <w:pPr>
        <w:pStyle w:val="ListParagraph"/>
        <w:numPr>
          <w:ilvl w:val="0"/>
          <w:numId w:val="3"/>
        </w:numPr>
        <w:spacing w:after="60"/>
      </w:pPr>
      <w:r>
        <w:rPr>
          <w:rFonts w:ascii="Arial" w:cs="Arial" w:eastAsia="Arial" w:hAnsi="Arial"/>
          <w:b/>
          <w:bCs/>
          <w:sz w:val="24"/>
          <w:szCs w:val="24"/>
        </w:rPr>
        <w:t xml:space="preserve">Second order (Ħ_{int}²): </w:t>
      </w:r>
      <w:r>
        <w:rPr>
          <w:rFonts w:ascii="Arial" w:cs="Arial" w:eastAsia="Arial" w:hAnsi="Arial"/>
          <w:sz w:val="24"/>
          <w:szCs w:val="24"/>
        </w:rPr>
        <w:t xml:space="preserve">two sequential interaction events. A chain of two compositions. State amplitude reaches the (n+4)-particle sector.</w:t>
      </w:r>
    </w:p>
    <w:p>
      <w:pPr>
        <w:pStyle w:val="ListParagraph"/>
        <w:numPr>
          <w:ilvl w:val="0"/>
          <w:numId w:val="3"/>
        </w:numPr>
        <w:spacing w:after="160"/>
      </w:pPr>
      <w:r>
        <w:rPr>
          <w:rFonts w:ascii="Arial" w:cs="Arial" w:eastAsia="Arial" w:hAnsi="Arial"/>
          <w:b/>
          <w:bCs/>
          <w:sz w:val="24"/>
          <w:szCs w:val="24"/>
        </w:rPr>
        <w:t xml:space="preserve">k-th order: </w:t>
      </w:r>
      <w:r>
        <w:rPr>
          <w:rFonts w:ascii="Arial" w:cs="Arial" w:eastAsia="Arial" w:hAnsi="Arial"/>
          <w:sz w:val="24"/>
          <w:szCs w:val="24"/>
        </w:rPr>
        <w:t xml:space="preserve">k vertices chained. The semantic structure has depth k. The Dyson series is literally an expansion in compositional depth.</w:t>
      </w:r>
    </w:p>
    <w:p>
      <w:pPr>
        <w:spacing w:after="160"/>
      </w:pPr>
      <w:r>
        <w:rPr>
          <w:rFonts w:ascii="Arial" w:cs="Arial" w:eastAsia="Arial" w:hAnsi="Arial"/>
          <w:sz w:val="24"/>
          <w:szCs w:val="24"/>
        </w:rPr>
        <w:t xml:space="preserve">The STP predictor gφ learns to approximate the truncated Dyson series at a useful order. The SPLM architecture, being conservative-by-construction, implements this as an exact discrete Euler integrator rather than a learned approximation.</w:t>
      </w:r>
    </w:p>
    <w:p>
      <w:pPr>
        <w:spacing w:after="80"/>
      </w:pPr>
    </w:p>
    <w:p>
      <w:pPr>
        <w:pStyle w:val="Heading2"/>
      </w:pPr>
      <w:r>
        <w:rPr>
          <w:rFonts w:ascii="Arial" w:cs="Arial" w:eastAsia="Arial" w:hAnsi="Arial"/>
        </w:rPr>
        <w:t xml:space="preserve">5.5  Concrete Creation: From One Concept to a Binary Relation</w:t>
      </w:r>
    </w:p>
    <w:p>
      <w:pPr>
        <w:spacing w:after="160"/>
      </w:pPr>
      <w:r>
        <w:rPr>
          <w:rFonts w:ascii="Arial" w:cs="Arial" w:eastAsia="Arial" w:hAnsi="Arial"/>
          <w:sz w:val="24"/>
          <w:szCs w:val="24"/>
        </w:rPr>
        <w:t xml:space="preserve">Starting from a one-concept state |s₁⟩ ∈ S¹ℋ (a single semantic particle), here is what U(Δt) produces at first order:</w:t>
      </w:r>
    </w:p>
    <w:p>
      <w:pPr>
        <w:spacing w:after="120" w:before="120"/>
        <w:jc w:val="center"/>
      </w:pPr>
      <w:r>
        <w:rPr>
          <w:rFonts w:ascii="Cambria Math" w:cs="Cambria Math" w:eastAsia="Cambria Math" w:hAnsi="Cambria Math"/>
          <w:i/>
          <w:iCs/>
          <w:sz w:val="24"/>
          <w:szCs w:val="24"/>
        </w:rPr>
        <w:t xml:space="preserve">|ψ_{Δt}⟩  ≈  |s₁⟩  +  (−iΔt)Σ_{k,l} V_{kl,s₁} |sₖ, sₗ⟩  +  O(Δt²)</w:t>
      </w:r>
    </w:p>
    <w:p>
      <w:pPr>
        <w:spacing w:after="160"/>
      </w:pPr>
      <w:r>
        <w:rPr>
          <w:rFonts w:ascii="Arial" w:cs="Arial" w:eastAsia="Arial" w:hAnsi="Arial"/>
          <w:sz w:val="24"/>
          <w:szCs w:val="24"/>
        </w:rPr>
        <w:t xml:space="preserve">The state now has amplitude in both the n=1 sector (the original concept, unchanged) and the n=2 sector (a superposition of binary relations generated from s₁). One semantic particle has partially become a binary relation. At second order, those two-particle states further interact to produce states in n=3, 4, … sectors. Compositional depth grows with each integration step, and the Gaussian well geometry — through V_{klmn} — determines which specific combinations dominate.</w:t>
      </w:r>
    </w:p>
    <w:p>
      <w:pPr>
        <w:spacing w:after="80" w:before="80"/>
        <w:ind w:left="720"/>
      </w:pPr>
      <w:r>
        <w:rPr>
          <w:rFonts w:ascii="Arial" w:cs="Arial" w:eastAsia="Arial" w:hAnsi="Arial"/>
          <w:i/>
          <w:iCs/>
          <w:color w:val="555555"/>
          <w:sz w:val="22"/>
          <w:szCs w:val="22"/>
        </w:rPr>
        <w:t xml:space="preserve">The coupling constants V_{klmn} are the Taylor coefficients of the Gaussian energy well V(x) = mυ²(1 − e^{−κ||x||²}). They are entirely determined by the two parameters κ and υ already in the paper. The semantic creation dynamics is therefore not separately parameterised — it is inherited from the energy well geometry.</w:t>
      </w:r>
    </w:p>
    <w:p>
      <w:pPr>
        <w:spacing w:after="80"/>
      </w:pPr>
    </w:p>
    <w:p>
      <w:pPr>
        <w:pStyle w:val="Heading2"/>
      </w:pPr>
      <w:r>
        <w:rPr>
          <w:rFonts w:ascii="Arial" w:cs="Arial" w:eastAsia="Arial" w:hAnsi="Arial"/>
        </w:rPr>
        <w:t xml:space="preserve">5.6  The Coherent State Limit: Recovery of the STP Predictor</w:t>
      </w:r>
    </w:p>
    <w:p>
      <w:pPr>
        <w:spacing w:after="160"/>
      </w:pPr>
      <w:r>
        <w:rPr>
          <w:rFonts w:ascii="Arial" w:cs="Arial" w:eastAsia="Arial" w:hAnsi="Arial"/>
          <w:sz w:val="24"/>
          <w:szCs w:val="24"/>
        </w:rPr>
        <w:t xml:space="preserve">In the coherent-state approximation — the regime where the world model is confident and not hallucinating — replace operators by their expectation values αₖ = ⟨aₖ⟩. The Heisenberg equation becomes the Gross–Pitaevskii equation for the semantic field amplitude:</w:t>
      </w:r>
    </w:p>
    <w:p>
      <w:pPr>
        <w:spacing w:after="120" w:before="120"/>
        <w:jc w:val="center"/>
      </w:pPr>
      <w:r>
        <w:rPr>
          <w:rFonts w:ascii="Cambria Math" w:cs="Cambria Math" w:eastAsia="Cambria Math" w:hAnsi="Cambria Math"/>
          <w:i/>
          <w:iCs/>
          <w:sz w:val="24"/>
          <w:szCs w:val="24"/>
        </w:rPr>
        <w:t xml:space="preserve">dαₖ/dt  =  −iωₖ αₖ  −  iΣ_{lmn} V_{klmn} α*ₗ α_m α_n</w:t>
      </w:r>
    </w:p>
    <w:p>
      <w:pPr>
        <w:spacing w:after="160"/>
      </w:pPr>
      <w:r>
        <w:rPr>
          <w:rFonts w:ascii="Arial" w:cs="Arial" w:eastAsia="Arial" w:hAnsi="Arial"/>
          <w:sz w:val="24"/>
          <w:szCs w:val="24"/>
        </w:rPr>
        <w:t xml:space="preserve">This is the classical equation of motion for the semantic field. It is structurally identical to the STP predictor gφ: the predictor is learning to solve this ODE approximately, with the cubic non-linearity on the right encoding three-concept interactions. Three correspondences follow directly:</w:t>
      </w:r>
    </w:p>
    <w:p>
      <w:pPr>
        <w:pStyle w:val="ListParagraph"/>
        <w:numPr>
          <w:ilvl w:val="0"/>
          <w:numId w:val="3"/>
        </w:numPr>
        <w:spacing w:after="80"/>
      </w:pPr>
      <w:r>
        <w:rPr>
          <w:rFonts w:ascii="Arial" w:cs="Arial" w:eastAsia="Arial" w:hAnsi="Arial"/>
          <w:b/>
          <w:bCs/>
          <w:sz w:val="24"/>
          <w:szCs w:val="24"/>
        </w:rPr>
        <w:t xml:space="preserve">STP predictor gφ ≈ one Euler step of the Gross–Pitaevskii ODE.</w:t>
      </w:r>
      <w:r>
        <w:rPr>
          <w:rFonts w:ascii="Arial" w:cs="Arial" w:eastAsia="Arial" w:hAnsi="Arial"/>
          <w:sz w:val="24"/>
          <w:szCs w:val="24"/>
        </w:rPr>
        <w:t xml:space="preserve"> The predictor maps ẑ_t → ẑ_{t+Δt} by learning the effective Hamiltonian dynamics.</w:t>
      </w:r>
    </w:p>
    <w:p>
      <w:pPr>
        <w:pStyle w:val="ListParagraph"/>
        <w:numPr>
          <w:ilvl w:val="0"/>
          <w:numId w:val="3"/>
        </w:numPr>
        <w:spacing w:after="80"/>
      </w:pPr>
      <w:r>
        <w:rPr>
          <w:rFonts w:ascii="Arial" w:cs="Arial" w:eastAsia="Arial" w:hAnsi="Arial"/>
          <w:b/>
          <w:bCs/>
          <w:sz w:val="24"/>
          <w:szCs w:val="24"/>
        </w:rPr>
        <w:t xml:space="preserve">SPLM = exact integrator.</w:t>
      </w:r>
      <w:r>
        <w:rPr>
          <w:rFonts w:ascii="Arial" w:cs="Arial" w:eastAsia="Arial" w:hAnsi="Arial"/>
          <w:sz w:val="24"/>
          <w:szCs w:val="24"/>
        </w:rPr>
        <w:t xml:space="preserve"> The scalar-potential language model from the paper implements this ODE exactly by construction, rather than approximating it with a learned function.</w:t>
      </w:r>
    </w:p>
    <w:p>
      <w:pPr>
        <w:pStyle w:val="ListParagraph"/>
        <w:numPr>
          <w:ilvl w:val="0"/>
          <w:numId w:val="3"/>
        </w:numPr>
        <w:spacing w:after="160"/>
      </w:pPr>
      <w:r>
        <w:rPr>
          <w:rFonts w:ascii="Arial" w:cs="Arial" w:eastAsia="Arial" w:hAnsi="Arial"/>
          <w:b/>
          <w:bCs/>
          <w:sz w:val="24"/>
          <w:szCs w:val="24"/>
        </w:rPr>
        <w:t xml:space="preserve">Hallucination = departure from coherence.</w:t>
      </w:r>
      <w:r>
        <w:rPr>
          <w:rFonts w:ascii="Arial" w:cs="Arial" w:eastAsia="Arial" w:hAnsi="Arial"/>
          <w:sz w:val="24"/>
          <w:szCs w:val="24"/>
        </w:rPr>
        <w:t xml:space="preserve"> When the model’s state is a non-coherent superposition (high uncertainty, conflicting semantic evidence), the classical Gross–Pitaevskii approximation breaks down — the full quantum evolution must be used. This departure from coherence is the Fock-space signature of hallucination.</w:t>
      </w:r>
    </w:p>
    <w:p>
      <w:pPr>
        <w:pStyle w:val="Heading2"/>
      </w:pPr>
      <w:r>
        <w:rPr>
          <w:rFonts w:ascii="Arial" w:cs="Arial" w:eastAsia="Arial" w:hAnsi="Arial"/>
        </w:rPr>
        <w:t xml:space="preserve">5.7  Summary: Three Nested Mechanisms</w:t>
      </w:r>
    </w:p>
    <w:p>
      <w:pPr>
        <w:spacing w:after="160"/>
      </w:pPr>
      <w:r>
        <w:rPr>
          <w:rFonts w:ascii="Arial" w:cs="Arial" w:eastAsia="Arial" w:hAnsi="Arial"/>
          <w:sz w:val="24"/>
          <w:szCs w:val="24"/>
        </w:rPr>
        <w:t xml:space="preserve">The Semantic Hamiltonian models creation of semantic structure through three nested mechanisms, each a specialisation of the previous: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Level</w:t>
            </w:r>
          </w:p>
        </w:tc>
        <w:tc>
          <w:tcPr>
            <w:tcW w:type="dxa" w:w="35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Mechanism</w:t>
            </w:r>
          </w:p>
        </w:tc>
        <w:tc>
          <w:tcPr>
            <w:tcW w:type="dxa" w:w="35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Semantic Simulation link</w:t>
            </w:r>
          </w:p>
        </w:tc>
      </w:tr>
      <w:tr>
        <w:tc>
          <w:tcPr>
            <w:tcW w:type="dxa" w:w="2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bCs/>
                <w:sz w:val="22"/>
                <w:szCs w:val="22"/>
              </w:rPr>
              <w:t xml:space="preserve">Operator action</w:t>
            </w:r>
          </w:p>
        </w:tc>
        <w:tc>
          <w:tcPr>
            <w:tcW w:type="dxa" w:w="358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Cambria Math" w:cs="Cambria Math" w:eastAsia="Cambria Math" w:hAnsi="Cambria Math"/>
                <w:i/>
                <w:iCs/>
                <w:sz w:val="22"/>
                <w:szCs w:val="22"/>
              </w:rPr>
              <w:t xml:space="preserve">Quartic vertex V_{klmn} aₖⁿ aₗⁿ a_m a_n annihilates m, n and creates k, l</w:t>
            </w:r>
          </w:p>
        </w:tc>
        <w:tc>
          <w:tcPr>
            <w:tcW w:type="dxa" w:w="358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2"/>
                <w:szCs w:val="22"/>
              </w:rPr>
              <w:t xml:space="preserve">Interaction strengths set by κ and υ of the Gaussian well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Dyson series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mbria Math" w:cs="Cambria Math" w:eastAsia="Cambria Math" w:hAnsi="Cambria Math"/>
                <w:i/>
                <w:iCs/>
                <w:sz w:val="22"/>
                <w:szCs w:val="22"/>
              </w:rPr>
              <w:t xml:space="preserve">k-th order = k chained vertices = compositional depth k; complexity accumulates perturbatively</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Layer index ℓ is discrete time; each layer is one Dyson step</w:t>
            </w:r>
          </w:p>
        </w:tc>
      </w:tr>
      <w:tr>
        <w:tc>
          <w:tcPr>
            <w:tcW w:type="dxa" w:w="2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bCs/>
                <w:sz w:val="22"/>
                <w:szCs w:val="22"/>
              </w:rPr>
              <w:t xml:space="preserve">Coherent state limit</w:t>
            </w:r>
          </w:p>
        </w:tc>
        <w:tc>
          <w:tcPr>
            <w:tcW w:type="dxa" w:w="358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Cambria Math" w:cs="Cambria Math" w:eastAsia="Cambria Math" w:hAnsi="Cambria Math"/>
                <w:i/>
                <w:iCs/>
                <w:sz w:val="22"/>
                <w:szCs w:val="22"/>
              </w:rPr>
              <w:t xml:space="preserve">Gross–Pitaevskii ODE: dαₖ/dt = −iωₖαₖ − iΣ V_{klmn}α*ₗα_mα_n</w:t>
            </w:r>
          </w:p>
        </w:tc>
        <w:tc>
          <w:tcPr>
            <w:tcW w:type="dxa" w:w="358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2"/>
                <w:szCs w:val="22"/>
              </w:rPr>
              <w:t xml:space="preserve">STP predictor solves this ODE; SPLM implements it exactly</w:t>
            </w:r>
          </w:p>
        </w:tc>
      </w:tr>
    </w:tbl>
    <w:p>
      <w:pPr>
        <w:spacing w:after="160"/>
      </w:pPr>
    </w:p>
    <w:p>
      <w:pPr>
        <w:pBdr>
          <w:bottom w:val="single" w:color="2E75B6" w:sz="4" w:space="1"/>
        </w:pBdr>
        <w:spacing w:after="200" w:before="200"/>
      </w:pPr>
    </w:p>
    <w:p>
      <w:pPr>
        <w:pStyle w:val="Heading1"/>
      </w:pPr>
      <w:r>
        <w:rPr>
          <w:rFonts w:ascii="Arial" w:cs="Arial" w:eastAsia="Arial" w:hAnsi="Arial"/>
        </w:rPr>
        <w:t xml:space="preserve">6. The Semantic Tube as a Coherent State Path</w:t>
      </w:r>
    </w:p>
    <w:p>
      <w:pPr>
        <w:spacing w:after="160"/>
      </w:pPr>
      <w:r>
        <w:rPr>
          <w:rFonts w:ascii="Arial" w:cs="Arial" w:eastAsia="Arial" w:hAnsi="Arial"/>
          <w:sz w:val="24"/>
          <w:szCs w:val="24"/>
        </w:rPr>
        <w:t xml:space="preserve">Coherent states |α⟩ are defined as eigenstates of the annihilation operator:</w:t>
      </w:r>
    </w:p>
    <w:p>
      <w:pPr>
        <w:spacing w:after="120" w:before="120"/>
        <w:jc w:val="center"/>
      </w:pPr>
      <w:r>
        <w:rPr>
          <w:rFonts w:ascii="Cambria Math" w:cs="Cambria Math" w:eastAsia="Cambria Math" w:hAnsi="Cambria Math"/>
          <w:i/>
          <w:iCs/>
          <w:sz w:val="24"/>
          <w:szCs w:val="24"/>
        </w:rPr>
        <w:t xml:space="preserve">aₛ |α⟩  =  αₛ |α⟩,     |α⟩ = e^{−|α|²/2} Σⁿ (αⁿ/√n!) |n⟩</w:t>
      </w:r>
    </w:p>
    <w:p>
      <w:pPr>
        <w:spacing w:after="160"/>
      </w:pPr>
      <w:r>
        <w:rPr>
          <w:rFonts w:ascii="Arial" w:cs="Arial" w:eastAsia="Arial" w:hAnsi="Arial"/>
          <w:sz w:val="24"/>
          <w:szCs w:val="24"/>
        </w:rPr>
        <w:t xml:space="preserve">They are the quantum states closest to classical trajectories — they minimise the Heisenberg uncertainty in position and momentum simultaneously. In the Semantic Simulation context this maps precisely onto the semantic tube: a well-trained STP model predicts deterministic trajectories − coherent tubes − in ℤ, rather than dispersed superpositions.</w:t>
      </w:r>
    </w:p>
    <w:p>
      <w:pPr>
        <w:spacing w:after="80"/>
      </w:pPr>
    </w:p>
    <w:p>
      <w:pPr>
        <w:spacing w:after="160"/>
      </w:pPr>
      <w:r>
        <w:rPr>
          <w:rFonts w:ascii="Arial" w:cs="Arial" w:eastAsia="Arial" w:hAnsi="Arial"/>
          <w:sz w:val="24"/>
          <w:szCs w:val="24"/>
        </w:rPr>
        <w:t xml:space="preserve">The STP predictor gφ implements a displacement operator:</w:t>
      </w:r>
    </w:p>
    <w:p>
      <w:pPr>
        <w:spacing w:after="120" w:before="120"/>
        <w:jc w:val="center"/>
      </w:pPr>
      <w:r>
        <w:rPr>
          <w:rFonts w:ascii="Cambria Math" w:cs="Cambria Math" w:eastAsia="Cambria Math" w:hAnsi="Cambria Math"/>
          <w:i/>
          <w:iCs/>
          <w:sz w:val="24"/>
          <w:szCs w:val="24"/>
        </w:rPr>
        <w:t xml:space="preserve">D(α)  =  exp(α aⁿ − α* a),     D(α)|β⟩  =  |α + β⟩</w:t>
      </w:r>
    </w:p>
    <w:p>
      <w:pPr>
        <w:spacing w:after="160"/>
      </w:pPr>
      <w:r>
        <w:rPr>
          <w:rFonts w:ascii="Arial" w:cs="Arial" w:eastAsia="Arial" w:hAnsi="Arial"/>
          <w:sz w:val="24"/>
          <w:szCs w:val="24"/>
        </w:rPr>
        <w:t xml:space="preserve">which translates a coherent state along a straight line in phase space. This is structurally identical to the predictor adding a learned displacement Δẑ in ℤ. The Geodesic Hypothesis of the STP paper — that representation trajectories straighten in ℤ — is thus the statement that coherent-state trajectories under D(α) are geodesics of the Jacobi metric induced by the semantic energy field.</w:t>
      </w:r>
    </w:p>
    <w:p>
      <w:pPr>
        <w:spacing w:after="80"/>
      </w:pPr>
    </w:p>
    <w:p>
      <w:pPr>
        <w:pStyle w:val="Heading2"/>
      </w:pPr>
      <w:r>
        <w:rPr>
          <w:rFonts w:ascii="Arial" w:cs="Arial" w:eastAsia="Arial" w:hAnsi="Arial"/>
        </w:rPr>
        <w:t xml:space="preserve">6.1  The Straightening Lemma as the Adiabatic Theorem</w:t>
      </w:r>
    </w:p>
    <w:p>
      <w:pPr>
        <w:spacing w:after="160"/>
      </w:pPr>
      <w:r>
        <w:rPr>
          <w:rFonts w:ascii="Arial" w:cs="Arial" w:eastAsia="Arial" w:hAnsi="Arial"/>
          <w:sz w:val="24"/>
          <w:szCs w:val="24"/>
        </w:rPr>
        <w:t xml:space="preserve">When the semantic context evolves slowly relative to the gap in Ĥ, the instantaneous ground state |{ψ}₀(t)⟩ tracks the slowly-varying Hamiltonian Ĥ(t) adiabatically — it follows the ground-state manifold without transitions to excited sectors. This is the adiabatic theorem of quantum mechanics. In the Semantic Simulation context:</w:t>
      </w:r>
    </w:p>
    <w:p>
      <w:pPr>
        <w:pStyle w:val="ListParagraph"/>
        <w:numPr>
          <w:ilvl w:val="0"/>
          <w:numId w:val="3"/>
        </w:numPr>
        <w:spacing w:after="80"/>
      </w:pPr>
      <w:r>
        <w:rPr>
          <w:rFonts w:ascii="Arial" w:cs="Arial" w:eastAsia="Arial" w:hAnsi="Arial"/>
          <w:sz w:val="24"/>
          <w:szCs w:val="24"/>
        </w:rPr>
        <w:t xml:space="preserve">The slowly-varying context corresponds to smooth video or text sequences where semantic content changes gradually.</w:t>
      </w:r>
    </w:p>
    <w:p>
      <w:pPr>
        <w:pStyle w:val="ListParagraph"/>
        <w:numPr>
          <w:ilvl w:val="0"/>
          <w:numId w:val="3"/>
        </w:numPr>
        <w:spacing w:after="80"/>
      </w:pPr>
      <w:r>
        <w:rPr>
          <w:rFonts w:ascii="Arial" w:cs="Arial" w:eastAsia="Arial" w:hAnsi="Arial"/>
          <w:sz w:val="24"/>
          <w:szCs w:val="24"/>
        </w:rPr>
        <w:t xml:space="preserve">The gap in Ĥ (the energy separation between the ground state and first excited sector) is precisely the quantity that SIGReg maintains by keeping modes orthogonal and well-separated.</w:t>
      </w:r>
    </w:p>
    <w:p>
      <w:pPr>
        <w:pStyle w:val="ListParagraph"/>
        <w:numPr>
          <w:ilvl w:val="0"/>
          <w:numId w:val="3"/>
        </w:numPr>
        <w:spacing w:after="200"/>
      </w:pPr>
      <w:r>
        <w:rPr>
          <w:rFonts w:ascii="Arial" w:cs="Arial" w:eastAsia="Arial" w:hAnsi="Arial"/>
          <w:sz w:val="24"/>
          <w:szCs w:val="24"/>
        </w:rPr>
        <w:t xml:space="preserve">The adiabatic ground-state trajectory is a geodesic in the induced metric — reproducing the Straightening Lemma from the quantum-mechanical side.</w:t>
      </w:r>
    </w:p>
    <w:p>
      <w:pPr>
        <w:pBdr>
          <w:bottom w:val="single" w:color="2E75B6" w:sz="4" w:space="1"/>
        </w:pBdr>
        <w:spacing w:after="200" w:before="200"/>
      </w:pPr>
    </w:p>
    <w:p>
      <w:pPr>
        <w:pStyle w:val="Heading1"/>
      </w:pPr>
      <w:r>
        <w:rPr>
          <w:rFonts w:ascii="Arial" w:cs="Arial" w:eastAsia="Arial" w:hAnsi="Arial"/>
        </w:rPr>
        <w:t xml:space="preserve">7. Dissipation, Open Systems, and the Lindblad Extension</w:t>
      </w:r>
    </w:p>
    <w:p>
      <w:pPr>
        <w:spacing w:after="160"/>
      </w:pPr>
      <w:r>
        <w:rPr>
          <w:rFonts w:ascii="Arial" w:cs="Arial" w:eastAsia="Arial" w:hAnsi="Arial"/>
          <w:sz w:val="24"/>
          <w:szCs w:val="24"/>
        </w:rPr>
        <w:t xml:space="preserve">The Legendre transform in Section 4 recovers a conservative Hamiltonian. However, the full Euler–Lagrange equations in the paper include a velocity-dependent damping term (the tanh braking factor near bound states):</w:t>
      </w:r>
    </w:p>
    <w:p>
      <w:pPr>
        <w:spacing w:after="120" w:before="120"/>
        <w:jc w:val="center"/>
      </w:pPr>
      <w:r>
        <w:rPr>
          <w:rFonts w:ascii="Cambria Math" w:cs="Cambria Math" w:eastAsia="Cambria Math" w:hAnsi="Cambria Math"/>
          <w:i/>
          <w:iCs/>
          <w:sz w:val="24"/>
          <w:szCs w:val="24"/>
        </w:rPr>
        <w:t xml:space="preserve">mẍ + β tanh(ẋ/υ) + ∇V(x)  =  0</w:t>
      </w:r>
    </w:p>
    <w:p>
      <w:pPr>
        <w:spacing w:after="160"/>
      </w:pPr>
      <w:r>
        <w:rPr>
          <w:rFonts w:ascii="Arial" w:cs="Arial" w:eastAsia="Arial" w:hAnsi="Arial"/>
          <w:sz w:val="24"/>
          <w:szCs w:val="24"/>
        </w:rPr>
        <w:t xml:space="preserve">Velocity-dependent dissipation cannot be encoded in a standard Hamiltonian — it breaks the symplectic structure of phase space. The system is therefore dissipative, and its correct quantum-mechanical description requires the Lindblad master equation for open quantum systems:</w:t>
      </w:r>
    </w:p>
    <w:p>
      <w:pPr>
        <w:spacing w:after="120" w:before="120"/>
        <w:jc w:val="center"/>
      </w:pPr>
      <w:r>
        <w:rPr>
          <w:rFonts w:ascii="Cambria Math" w:cs="Cambria Math" w:eastAsia="Cambria Math" w:hAnsi="Cambria Math"/>
          <w:i/>
          <w:iCs/>
          <w:sz w:val="24"/>
          <w:szCs w:val="24"/>
        </w:rPr>
        <w:t xml:space="preserve">dρ/dt  =  −i[Ĥ, ρ]  +  Σₖ γₖ (Lₖ ρ Lₖⁿ − ½{Lₖⁿ Lₖ, ρ})</w:t>
      </w:r>
    </w:p>
    <w:p>
      <w:pPr>
        <w:spacing w:after="160"/>
      </w:pPr>
      <w:r>
        <w:rPr>
          <w:rFonts w:ascii="Arial" w:cs="Arial" w:eastAsia="Arial" w:hAnsi="Arial"/>
          <w:sz w:val="24"/>
          <w:szCs w:val="24"/>
        </w:rPr>
        <w:t xml:space="preserve">where ρ is the density matrix on F(ℋ), γₖ are decay rates, and Lₖ are Lindblad jump operators encoding the dissipative channels. The physical interpretation is that the semantic system is coupled to an environment — the training distribution, the broader linguistic context, the model’s prior — and energy (semantic content) can leak into or be absorbed from that environment.</w:t>
      </w:r>
    </w:p>
    <w:p>
      <w:pPr>
        <w:spacing w:after="80"/>
      </w:pPr>
    </w:p>
    <w:p>
      <w:pPr>
        <w:spacing w:after="160"/>
      </w:pPr>
      <w:r>
        <w:rPr>
          <w:rFonts w:ascii="Arial" w:cs="Arial" w:eastAsia="Arial" w:hAnsi="Arial"/>
          <w:sz w:val="24"/>
          <w:szCs w:val="24"/>
        </w:rPr>
        <w:t xml:space="preserve">This is not a failure of the framework — it is a precise and publishable statement: the SPLM realises Semantic Simulation dynamics as an open quantum system on a semantic Fock space, with the tanh damping corresponding to a specific choice of Lindblad operators. Identifying those operators explicitly from the paper’s damping term is a concrete derivation that could form a dedicated subsection.</w:t>
      </w:r>
    </w:p>
    <w:p>
      <w:pPr>
        <w:pBdr>
          <w:bottom w:val="single" w:color="2E75B6" w:sz="4" w:space="1"/>
        </w:pBdr>
        <w:spacing w:after="200" w:before="200"/>
      </w:pPr>
    </w:p>
    <w:p>
      <w:pPr>
        <w:pStyle w:val="Heading1"/>
      </w:pPr>
      <w:r>
        <w:rPr>
          <w:rFonts w:ascii="Arial" w:cs="Arial" w:eastAsia="Arial" w:hAnsi="Arial"/>
        </w:rPr>
        <w:t xml:space="preserve">8. Key Correspondences and Status in the Paper</w:t>
      </w:r>
    </w:p>
    <w:p>
      <w:pPr>
        <w:spacing w:after="160"/>
      </w:pPr>
      <w:r>
        <w:rPr>
          <w:rFonts w:ascii="Arial" w:cs="Arial" w:eastAsia="Arial" w:hAnsi="Arial"/>
          <w:sz w:val="24"/>
          <w:szCs w:val="24"/>
        </w:rPr>
        <w:t xml:space="preserve">The following table summarises the theoretical status of each claim in this document relative to what is already present in the Semantic Simulation paper: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sz w:val="24"/>
                <w:szCs w:val="24"/>
              </w:rPr>
              <w:t xml:space="preserve">Concept / Claim</w:t>
            </w:r>
          </w:p>
        </w:tc>
        <w:tc>
          <w:tcPr>
            <w:tcW w:type="dxa" w:w="4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sz w:val="24"/>
                <w:szCs w:val="24"/>
              </w:rPr>
              <w:t xml:space="preserve">Status</w:t>
            </w:r>
          </w:p>
        </w:tc>
      </w:tr>
      <w:tr>
        <w:tc>
          <w:tcPr>
            <w:tcW w:type="dxa" w:w="5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4"/>
                <w:szCs w:val="24"/>
              </w:rPr>
              <w:t xml:space="preserve">Lagrangian L = T − V with Gaussian well</w:t>
            </w:r>
          </w:p>
        </w:tc>
        <w:tc>
          <w:tcPr>
            <w:tcW w:type="dxa" w:w="41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4"/>
                <w:szCs w:val="24"/>
              </w:rPr>
              <w:t xml:space="preserve">Fully defined in the paper (Sections 4, 7)</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Euler–Lagrange equations with tanh damping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Derived in the paper (Section 7)</w:t>
            </w:r>
          </w:p>
        </w:tc>
      </w:tr>
      <w:tr>
        <w:tc>
          <w:tcPr>
            <w:tcW w:type="dxa" w:w="5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4"/>
                <w:szCs w:val="24"/>
              </w:rPr>
              <w:t xml:space="preserve">Legendre transform H = T + V</w:t>
            </w:r>
          </w:p>
        </w:tc>
        <w:tc>
          <w:tcPr>
            <w:tcW w:type="dxa" w:w="41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4"/>
                <w:szCs w:val="24"/>
              </w:rPr>
              <w:t xml:space="preserve">Standard step, not yet in the paper — trivial to add</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Semantic phase space (x, p) ∈ T*ℤ</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Implicit; making it explicit is a contribution</w:t>
            </w:r>
          </w:p>
        </w:tc>
      </w:tr>
      <w:tr>
        <w:tc>
          <w:tcPr>
            <w:tcW w:type="dxa" w:w="5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4"/>
                <w:szCs w:val="24"/>
              </w:rPr>
              <w:t xml:space="preserve">Isotropic Hessian ⇒ all modes equal</w:t>
            </w:r>
          </w:p>
        </w:tc>
        <w:tc>
          <w:tcPr>
            <w:tcW w:type="dxa" w:w="41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4"/>
                <w:szCs w:val="24"/>
              </w:rPr>
              <w:t xml:space="preserve">Follows from Gaussian V; not stated in paper</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Second-quantised Ĥ on F(ℋ)</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New — core contribution of this section</w:t>
            </w:r>
          </w:p>
        </w:tc>
      </w:tr>
      <w:tr>
        <w:tc>
          <w:tcPr>
            <w:tcW w:type="dxa" w:w="5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4"/>
                <w:szCs w:val="24"/>
              </w:rPr>
              <w:t xml:space="preserve">Quartic vertex as atomic semantic operation</w:t>
            </w:r>
          </w:p>
        </w:tc>
        <w:tc>
          <w:tcPr>
            <w:tcW w:type="dxa" w:w="41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4"/>
                <w:szCs w:val="24"/>
              </w:rPr>
              <w:t xml:space="preserve">New — V_{klmn} from Gaussian well Taylor expansion</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Heisenberg eq. daₖ/dt — concept generation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New — mode mixing encodes semantic creation</w:t>
            </w:r>
          </w:p>
        </w:tc>
      </w:tr>
      <w:tr>
        <w:tc>
          <w:tcPr>
            <w:tcW w:type="dxa" w:w="5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4"/>
                <w:szCs w:val="24"/>
              </w:rPr>
              <w:t xml:space="preserve">Dyson series as compositional depth expansion</w:t>
            </w:r>
          </w:p>
        </w:tc>
        <w:tc>
          <w:tcPr>
            <w:tcW w:type="dxa" w:w="41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4"/>
                <w:szCs w:val="24"/>
              </w:rPr>
              <w:t xml:space="preserve">New — layer index ℓ = discrete time in the series</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Gross–Pitaevskii ODE for semantic field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New — coherent-state limit of Heisenberg eq.</w:t>
            </w:r>
          </w:p>
        </w:tc>
      </w:tr>
      <w:tr>
        <w:tc>
          <w:tcPr>
            <w:tcW w:type="dxa" w:w="5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4"/>
                <w:szCs w:val="24"/>
              </w:rPr>
              <w:t xml:space="preserve">STP predictor as Euler step of GP-ODE</w:t>
            </w:r>
          </w:p>
        </w:tc>
        <w:tc>
          <w:tcPr>
            <w:tcW w:type="dxa" w:w="41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4"/>
                <w:szCs w:val="24"/>
              </w:rPr>
              <w:t xml:space="preserve">New — connects gφ to field-theory dynamics</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Hallucination as departure from coherence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New — non-coherent state signals model uncertainty</w:t>
            </w:r>
          </w:p>
        </w:tc>
      </w:tr>
      <w:tr>
        <w:tc>
          <w:tcPr>
            <w:tcW w:type="dxa" w:w="5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4"/>
                <w:szCs w:val="24"/>
              </w:rPr>
              <w:t xml:space="preserve">SIGReg = diagonalisation of Ĥ</w:t>
            </w:r>
          </w:p>
        </w:tc>
        <w:tc>
          <w:tcPr>
            <w:tcW w:type="dxa" w:w="41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4"/>
                <w:szCs w:val="24"/>
              </w:rPr>
              <w:t xml:space="preserve">New — connects regularisation to Fock basis</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Encoder fθ as Bogoliubov transformation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New — identifies encoder role in Fock picture</w:t>
            </w:r>
          </w:p>
        </w:tc>
      </w:tr>
      <w:tr>
        <w:tc>
          <w:tcPr>
            <w:tcW w:type="dxa" w:w="5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4"/>
                <w:szCs w:val="24"/>
              </w:rPr>
              <w:t xml:space="preserve">Semantic tube as coherent state path</w:t>
            </w:r>
          </w:p>
        </w:tc>
        <w:tc>
          <w:tcPr>
            <w:tcW w:type="dxa" w:w="41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4"/>
                <w:szCs w:val="24"/>
              </w:rPr>
              <w:t xml:space="preserve">New — connects STP tube to quantum coherence</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Geodesic Hypothesis as adiabatic theorem</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New — connects Straightening Lemma to QM</w:t>
            </w:r>
          </w:p>
        </w:tc>
      </w:tr>
      <w:tr>
        <w:tc>
          <w:tcPr>
            <w:tcW w:type="dxa" w:w="5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4"/>
                <w:szCs w:val="24"/>
              </w:rPr>
              <w:t xml:space="preserve">Dissipative dynamics as Lindblad equation</w:t>
            </w:r>
          </w:p>
        </w:tc>
        <w:tc>
          <w:tcPr>
            <w:tcW w:type="dxa" w:w="41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4"/>
                <w:szCs w:val="24"/>
              </w:rPr>
              <w:t xml:space="preserve">New — open quantum system interpretation</w:t>
            </w:r>
          </w:p>
        </w:tc>
      </w:tr>
    </w:tbl>
    <w:p>
      <w:pPr>
        <w:spacing w:after="160"/>
      </w:pPr>
    </w:p>
    <w:p>
      <w:pPr>
        <w:pStyle w:val="Heading1"/>
      </w:pPr>
      <w:r>
        <w:rPr>
          <w:rFonts w:ascii="Arial" w:cs="Arial" w:eastAsia="Arial" w:hAnsi="Arial"/>
        </w:rPr>
        <w:t xml:space="preserve">9. Recommended Derivation Roadmap for the Paper</w:t>
      </w:r>
    </w:p>
    <w:p>
      <w:pPr>
        <w:spacing w:after="160"/>
      </w:pPr>
      <w:r>
        <w:rPr>
          <w:rFonts w:ascii="Arial" w:cs="Arial" w:eastAsia="Arial" w:hAnsi="Arial"/>
          <w:sz w:val="24"/>
          <w:szCs w:val="24"/>
        </w:rPr>
        <w:t xml:space="preserve">The cleanest logical order for presenting this material in the paper is:</w:t>
      </w:r>
    </w:p>
    <w:p>
      <w:pPr>
        <w:pStyle w:val="ListParagraph"/>
        <w:numPr>
          <w:ilvl w:val="0"/>
          <w:numId w:val="2"/>
        </w:numPr>
        <w:spacing w:after="100"/>
      </w:pPr>
      <w:r>
        <w:rPr>
          <w:rFonts w:ascii="Arial" w:cs="Arial" w:eastAsia="Arial" w:hAnsi="Arial"/>
          <w:b/>
          <w:bCs/>
          <w:sz w:val="24"/>
          <w:szCs w:val="24"/>
        </w:rPr>
        <w:t xml:space="preserve">Lagrangian (existing). </w:t>
      </w:r>
      <w:r>
        <w:rPr>
          <w:rFonts w:ascii="Arial" w:cs="Arial" w:eastAsia="Arial" w:hAnsi="Arial"/>
          <w:sz w:val="24"/>
          <w:szCs w:val="24"/>
        </w:rPr>
        <w:t xml:space="preserve">Cite the paper’s own Sections 4 and 7.</w:t>
      </w:r>
    </w:p>
    <w:p>
      <w:pPr>
        <w:pStyle w:val="ListParagraph"/>
        <w:numPr>
          <w:ilvl w:val="0"/>
          <w:numId w:val="2"/>
        </w:numPr>
        <w:spacing w:after="100"/>
      </w:pPr>
      <w:r>
        <w:rPr>
          <w:rFonts w:ascii="Arial" w:cs="Arial" w:eastAsia="Arial" w:hAnsi="Arial"/>
          <w:b/>
          <w:bCs/>
          <w:sz w:val="24"/>
          <w:szCs w:val="24"/>
        </w:rPr>
        <w:t xml:space="preserve">Legendre transform. </w:t>
      </w:r>
      <w:r>
        <w:rPr>
          <w:rFonts w:ascii="Arial" w:cs="Arial" w:eastAsia="Arial" w:hAnsi="Arial"/>
          <w:sz w:val="24"/>
          <w:szCs w:val="24"/>
        </w:rPr>
        <w:t xml:space="preserve">One paragraph: p = mẋ, H = p·ẋ − L = T + V. State the conservative result and flag the damping caveat.</w:t>
      </w:r>
    </w:p>
    <w:p>
      <w:pPr>
        <w:pStyle w:val="ListParagraph"/>
        <w:numPr>
          <w:ilvl w:val="0"/>
          <w:numId w:val="2"/>
        </w:numPr>
        <w:spacing w:after="100"/>
      </w:pPr>
      <w:r>
        <w:rPr>
          <w:rFonts w:ascii="Arial" w:cs="Arial" w:eastAsia="Arial" w:hAnsi="Arial"/>
          <w:b/>
          <w:bCs/>
          <w:sz w:val="24"/>
          <w:szCs w:val="24"/>
        </w:rPr>
        <w:t xml:space="preserve">Mode expansion. </w:t>
      </w:r>
      <w:r>
        <w:rPr>
          <w:rFonts w:ascii="Arial" w:cs="Arial" w:eastAsia="Arial" w:hAnsi="Arial"/>
          <w:sz w:val="24"/>
          <w:szCs w:val="24"/>
        </w:rPr>
        <w:t xml:space="preserve">Linearise V around x* = 0, compute the Hessian, identify the normal-mode frequencies ωₖ² = 2κυ².</w:t>
      </w:r>
    </w:p>
    <w:p>
      <w:pPr>
        <w:pStyle w:val="ListParagraph"/>
        <w:numPr>
          <w:ilvl w:val="0"/>
          <w:numId w:val="2"/>
        </w:numPr>
        <w:spacing w:after="100"/>
      </w:pPr>
      <w:r>
        <w:rPr>
          <w:rFonts w:ascii="Arial" w:cs="Arial" w:eastAsia="Arial" w:hAnsi="Arial"/>
          <w:b/>
          <w:bCs/>
          <w:sz w:val="24"/>
          <w:szCs w:val="24"/>
        </w:rPr>
        <w:t xml:space="preserve">Second quantisation. </w:t>
      </w:r>
      <w:r>
        <w:rPr>
          <w:rFonts w:ascii="Arial" w:cs="Arial" w:eastAsia="Arial" w:hAnsi="Arial"/>
          <w:sz w:val="24"/>
          <w:szCs w:val="24"/>
        </w:rPr>
        <w:t xml:space="preserve">Promote x̂, p̂ to operators via the mode expansion. Normal-order Ĥ. Identify free-field and interaction terms.</w:t>
      </w:r>
    </w:p>
    <w:p>
      <w:pPr>
        <w:pStyle w:val="ListParagraph"/>
        <w:numPr>
          <w:ilvl w:val="0"/>
          <w:numId w:val="2"/>
        </w:numPr>
        <w:spacing w:after="100"/>
      </w:pPr>
      <w:r>
        <w:rPr>
          <w:rFonts w:ascii="Arial" w:cs="Arial" w:eastAsia="Arial" w:hAnsi="Arial"/>
          <w:b/>
          <w:bCs/>
          <w:sz w:val="24"/>
          <w:szCs w:val="24"/>
        </w:rPr>
        <w:t xml:space="preserve">Fock space F(ℋ). </w:t>
      </w:r>
      <w:r>
        <w:rPr>
          <w:rFonts w:ascii="Arial" w:cs="Arial" w:eastAsia="Arial" w:hAnsi="Arial"/>
          <w:sz w:val="24"/>
          <w:szCs w:val="24"/>
        </w:rPr>
        <w:t xml:space="preserve">Define the sector decomposition. Interpret n-particle states as semantic structures of depth n. State the bosonic vs. fermionic distinction.</w:t>
      </w:r>
    </w:p>
    <w:p>
      <w:pPr>
        <w:pStyle w:val="ListParagraph"/>
        <w:numPr>
          <w:ilvl w:val="0"/>
          <w:numId w:val="2"/>
        </w:numPr>
        <w:spacing w:after="100"/>
      </w:pPr>
      <w:r>
        <w:rPr>
          <w:rFonts w:ascii="Arial" w:cs="Arial" w:eastAsia="Arial" w:hAnsi="Arial"/>
          <w:b/>
          <w:bCs/>
          <w:sz w:val="24"/>
          <w:szCs w:val="24"/>
        </w:rPr>
        <w:t xml:space="preserve">SIGReg as diagonalisation. </w:t>
      </w:r>
      <w:r>
        <w:rPr>
          <w:rFonts w:ascii="Arial" w:cs="Arial" w:eastAsia="Arial" w:hAnsi="Arial"/>
          <w:sz w:val="24"/>
          <w:szCs w:val="24"/>
        </w:rPr>
        <w:t xml:space="preserve">Show that the Cramér–Wald regularisation kills off-diagonal Jₖₗ, making the Fock basis well-defined.</w:t>
      </w:r>
    </w:p>
    <w:p>
      <w:pPr>
        <w:pStyle w:val="ListParagraph"/>
        <w:numPr>
          <w:ilvl w:val="0"/>
          <w:numId w:val="2"/>
        </w:numPr>
        <w:spacing w:after="100"/>
      </w:pPr>
      <w:r>
        <w:rPr>
          <w:rFonts w:ascii="Arial" w:cs="Arial" w:eastAsia="Arial" w:hAnsi="Arial"/>
          <w:b/>
          <w:bCs/>
          <w:sz w:val="24"/>
          <w:szCs w:val="24"/>
        </w:rPr>
        <w:t xml:space="preserve">Creation mechanism (Section 5). </w:t>
      </w:r>
      <w:r>
        <w:rPr>
          <w:rFonts w:ascii="Arial" w:cs="Arial" w:eastAsia="Arial" w:hAnsi="Arial"/>
          <w:sz w:val="24"/>
          <w:szCs w:val="24"/>
        </w:rPr>
        <w:t xml:space="preserve">Present the quartic vertex as the atomic semantic operation. Derive the Heisenberg equation daₖ/dt and interpret each term. Introduce the Dyson series as the compositional-depth expansion, identifying the layer index ℓ with discrete time.</w:t>
      </w:r>
    </w:p>
    <w:p>
      <w:pPr>
        <w:pStyle w:val="ListParagraph"/>
        <w:numPr>
          <w:ilvl w:val="0"/>
          <w:numId w:val="2"/>
        </w:numPr>
        <w:spacing w:after="100"/>
      </w:pPr>
      <w:r>
        <w:rPr>
          <w:rFonts w:ascii="Arial" w:cs="Arial" w:eastAsia="Arial" w:hAnsi="Arial"/>
          <w:b/>
          <w:bCs/>
          <w:sz w:val="24"/>
          <w:szCs w:val="24"/>
        </w:rPr>
        <w:t xml:space="preserve">Gross–Pitaevskii limit. </w:t>
      </w:r>
      <w:r>
        <w:rPr>
          <w:rFonts w:ascii="Arial" w:cs="Arial" w:eastAsia="Arial" w:hAnsi="Arial"/>
          <w:sz w:val="24"/>
          <w:szCs w:val="24"/>
        </w:rPr>
        <w:t xml:space="preserve">Take the coherent-state expectation value of the Heisenberg equation. Show the resulting ODE is structurally identical to the STP predictor. Establish the hallucination–coherence correspondence.</w:t>
      </w:r>
    </w:p>
    <w:p>
      <w:pPr>
        <w:pStyle w:val="ListParagraph"/>
        <w:numPr>
          <w:ilvl w:val="0"/>
          <w:numId w:val="2"/>
        </w:numPr>
        <w:spacing w:after="100"/>
      </w:pPr>
      <w:r>
        <w:rPr>
          <w:rFonts w:ascii="Arial" w:cs="Arial" w:eastAsia="Arial" w:hAnsi="Arial"/>
          <w:b/>
          <w:bCs/>
          <w:sz w:val="24"/>
          <w:szCs w:val="24"/>
        </w:rPr>
        <w:t xml:space="preserve">Coherent states and the semantic tube. </w:t>
      </w:r>
      <w:r>
        <w:rPr>
          <w:rFonts w:ascii="Arial" w:cs="Arial" w:eastAsia="Arial" w:hAnsi="Arial"/>
          <w:sz w:val="24"/>
          <w:szCs w:val="24"/>
        </w:rPr>
        <w:t xml:space="preserve">Identify the displacement operator with the STP predictor. Derive the Geodesic Hypothesis as the adiabatic theorem.</w:t>
      </w:r>
    </w:p>
    <w:p>
      <w:pPr>
        <w:pStyle w:val="ListParagraph"/>
        <w:numPr>
          <w:ilvl w:val="0"/>
          <w:numId w:val="2"/>
        </w:numPr>
        <w:spacing w:after="200"/>
      </w:pPr>
      <w:r>
        <w:rPr>
          <w:rFonts w:ascii="Arial" w:cs="Arial" w:eastAsia="Arial" w:hAnsi="Arial"/>
          <w:b/>
          <w:bCs/>
          <w:sz w:val="24"/>
          <w:szCs w:val="24"/>
        </w:rPr>
        <w:t xml:space="preserve">Lindblad extension. </w:t>
      </w:r>
      <w:r>
        <w:rPr>
          <w:rFonts w:ascii="Arial" w:cs="Arial" w:eastAsia="Arial" w:hAnsi="Arial"/>
          <w:sz w:val="24"/>
          <w:szCs w:val="24"/>
        </w:rPr>
        <w:t xml:space="preserve">Flag the open-system nature. Identify tanh damping with Lindblad jump operators. State as a research programme.</w:t>
      </w:r>
    </w:p>
    <w:p>
      <w:pPr>
        <w:pBdr>
          <w:bottom w:val="single" w:color="2E75B6" w:sz="4" w:space="1"/>
        </w:pBdr>
        <w:spacing w:after="200" w:before="200"/>
      </w:pPr>
    </w:p>
    <w:p>
      <w:pPr>
        <w:spacing w:after="160"/>
      </w:pPr>
    </w:p>
    <w:p>
      <w:pPr>
        <w:spacing w:after="40" w:before="200"/>
        <w:jc w:val="center"/>
      </w:pPr>
      <w:r>
        <w:rPr>
          <w:rFonts w:ascii="Arial" w:cs="Arial" w:eastAsia="Arial" w:hAnsi="Arial"/>
          <w:i/>
          <w:iCs/>
          <w:color w:val="888888"/>
          <w:sz w:val="20"/>
          <w:szCs w:val="20"/>
        </w:rPr>
        <w:t xml:space="preserve">Semantic Simulation — Working Notes</w:t>
      </w:r>
    </w:p>
    <w:p>
      <w:pPr>
        <w:spacing w:after="0"/>
        <w:jc w:val="center"/>
      </w:pPr>
      <w:r>
        <w:rPr>
          <w:rFonts w:ascii="Arial" w:cs="Arial" w:eastAsia="Arial" w:hAnsi="Arial"/>
          <w:color w:val="888888"/>
          <w:sz w:val="20"/>
          <w:szCs w:val="20"/>
        </w:rPr>
        <w:t xml:space="preserve">Dimitar Gueorguiev</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spacing w:after="120"/>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2026-04-27T23:45:47.132Z</dcterms:created>
  <dcterms:modified xsi:type="dcterms:W3CDTF">2026-04-27T23:45:47.133Z</dcterms:modified>
</cp:coreProperties>
</file>

<file path=docProps/custom.xml><?xml version="1.0" encoding="utf-8"?>
<Properties xmlns="http://schemas.openxmlformats.org/officeDocument/2006/custom-properties" xmlns:vt="http://schemas.openxmlformats.org/officeDocument/2006/docPropsVTypes"/>
</file>