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7777777" w:rsidR="008A7142" w:rsidRDefault="008A7142"/>
    <w:p w14:paraId="7C7E8EAE" w14:textId="7A33F5B5" w:rsidR="008A7142" w:rsidRDefault="008A7142" w:rsidP="008A7142">
      <w:pPr>
        <w:pStyle w:val="Heading2"/>
      </w:pPr>
      <w:r>
        <w:t>Quadratic and Gaussian Potential Wells – What’s the Difference</w:t>
      </w:r>
    </w:p>
    <w:p w14:paraId="15B4410A" w14:textId="77777777" w:rsidR="008A7142" w:rsidRDefault="008A7142"/>
    <w:p w14:paraId="0758C556" w14:textId="77777777" w:rsidR="008A7142" w:rsidRDefault="008A7142"/>
    <w:p w14:paraId="2B7FEF1E" w14:textId="77777777" w:rsidR="008A7142" w:rsidRDefault="008A7142"/>
    <w:p w14:paraId="3E9805E9" w14:textId="77777777" w:rsidR="00A02B48" w:rsidRDefault="00A02B48"/>
    <w:p w14:paraId="774AC165" w14:textId="77777777" w:rsidR="00625ABB" w:rsidRDefault="00625ABB"/>
    <w:p w14:paraId="7840A15A" w14:textId="0647C020" w:rsidR="00625ABB" w:rsidRDefault="00625ABB" w:rsidP="00625ABB">
      <w:pPr>
        <w:pStyle w:val="Heading1"/>
      </w:pPr>
      <w:r>
        <w:t>References</w:t>
      </w:r>
    </w:p>
    <w:p w14:paraId="314A2F62" w14:textId="1779B83C" w:rsidR="00625ABB" w:rsidRDefault="00625ABB">
      <w:r>
        <w:t>[1]</w:t>
      </w:r>
      <w:r w:rsidR="008A7142">
        <w:t xml:space="preserve"> </w:t>
      </w:r>
      <w:hyperlink r:id="rId7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to </w:t>
      </w:r>
      <w:hyperlink r:id="rId8" w:history="1">
        <w:r w:rsidR="00752E2E" w:rsidRPr="00752E2E">
          <w:rPr>
            <w:rStyle w:val="Hyperlink"/>
            <w:rFonts w:eastAsiaTheme="minorEastAsia"/>
          </w:rPr>
          <w:t>“</w:t>
        </w:r>
        <w:r w:rsidR="00752E2E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752E2E" w:rsidRPr="00752E2E">
          <w:rPr>
            <w:rStyle w:val="Hyperlink"/>
            <w:rFonts w:eastAsiaTheme="minorEastAsia"/>
          </w:rPr>
          <w:t>”</w:t>
        </w:r>
      </w:hyperlink>
    </w:p>
    <w:p w14:paraId="582C9E9A" w14:textId="034C0CD5" w:rsidR="00625ABB" w:rsidRDefault="00625ABB">
      <w:pPr>
        <w:rPr>
          <w:rFonts w:eastAsiaTheme="minorEastAsia"/>
        </w:rPr>
      </w:pPr>
      <w:r>
        <w:t>[2]</w:t>
      </w:r>
      <w:r w:rsidR="00752E2E">
        <w:t xml:space="preserve"> </w:t>
      </w:r>
      <w:hyperlink r:id="rId9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companion note to </w:t>
      </w:r>
      <w:hyperlink r:id="rId10" w:history="1">
        <w:r w:rsidR="009A30D9" w:rsidRPr="00752E2E">
          <w:rPr>
            <w:rStyle w:val="Hyperlink"/>
            <w:rFonts w:eastAsiaTheme="minorEastAsia"/>
          </w:rPr>
          <w:t>“</w:t>
        </w:r>
        <w:r w:rsidR="009A30D9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9A30D9" w:rsidRPr="00752E2E">
          <w:rPr>
            <w:rStyle w:val="Hyperlink"/>
            <w:rFonts w:eastAsiaTheme="minorEastAsia"/>
          </w:rPr>
          <w:t>”</w:t>
        </w:r>
      </w:hyperlink>
    </w:p>
    <w:p w14:paraId="4C149674" w14:textId="536B9A6A" w:rsidR="009A30D9" w:rsidRDefault="009A30D9">
      <w:r>
        <w:rPr>
          <w:rFonts w:eastAsiaTheme="minorEastAsia"/>
        </w:rPr>
        <w:t xml:space="preserve">[3] </w:t>
      </w:r>
      <w:hyperlink r:id="rId11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companion note to </w:t>
      </w:r>
      <w:hyperlink r:id="rId12" w:history="1">
        <w:r w:rsidR="00D06DD7" w:rsidRPr="00752E2E">
          <w:rPr>
            <w:rStyle w:val="Hyperlink"/>
            <w:rFonts w:eastAsiaTheme="minorEastAsia"/>
          </w:rPr>
          <w:t>“</w:t>
        </w:r>
        <w:r w:rsidR="00D06DD7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D06DD7" w:rsidRPr="00752E2E">
          <w:rPr>
            <w:rStyle w:val="Hyperlink"/>
            <w:rFonts w:eastAsiaTheme="minorEastAsia"/>
          </w:rPr>
          <w:t>”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45A6F6F6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40000A9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62445466" w14:textId="004A5A03" w:rsidR="003F5E1B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 xml:space="preserve">-dimensional space.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2EC56E49" w:rsidR="009C3A87" w:rsidRDefault="009C3A87" w:rsidP="009C586B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37CA9583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77777777" w:rsidR="003F5E1B" w:rsidRPr="009C586B" w:rsidRDefault="003F5E1B" w:rsidP="009C586B"/>
    <w:p w14:paraId="704AC3AC" w14:textId="10F275CB" w:rsidR="00131E5A" w:rsidRDefault="00131E5A">
      <w:r>
        <w:rPr>
          <w:noProof/>
        </w:rPr>
        <w:lastRenderedPageBreak/>
        <w:drawing>
          <wp:inline distT="0" distB="0" distL="0" distR="0" wp14:anchorId="409D98BB" wp14:editId="5B125A02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A601" w14:textId="77777777" w:rsidR="00131E5A" w:rsidRDefault="00131E5A"/>
    <w:p w14:paraId="7252C2E9" w14:textId="32774B4D" w:rsidR="00131E5A" w:rsidRDefault="00131E5A">
      <w:r>
        <w:rPr>
          <w:noProof/>
        </w:rPr>
        <w:drawing>
          <wp:inline distT="0" distB="0" distL="0" distR="0" wp14:anchorId="25909E9E" wp14:editId="678B0381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1E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8C6D3" w14:textId="77777777" w:rsidR="00DB3129" w:rsidRDefault="00DB3129" w:rsidP="002734A6">
      <w:pPr>
        <w:spacing w:line="240" w:lineRule="auto"/>
      </w:pPr>
      <w:r>
        <w:separator/>
      </w:r>
    </w:p>
  </w:endnote>
  <w:endnote w:type="continuationSeparator" w:id="0">
    <w:p w14:paraId="4FF1822A" w14:textId="77777777" w:rsidR="00DB3129" w:rsidRDefault="00DB3129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AAD58" w14:textId="77777777" w:rsidR="00DB3129" w:rsidRDefault="00DB3129" w:rsidP="002734A6">
      <w:pPr>
        <w:spacing w:line="240" w:lineRule="auto"/>
      </w:pPr>
      <w:r>
        <w:separator/>
      </w:r>
    </w:p>
  </w:footnote>
  <w:footnote w:type="continuationSeparator" w:id="0">
    <w:p w14:paraId="5B4D4097" w14:textId="77777777" w:rsidR="00DB3129" w:rsidRDefault="00DB3129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23139"/>
    <w:rsid w:val="00131E5A"/>
    <w:rsid w:val="001726C3"/>
    <w:rsid w:val="001D4D86"/>
    <w:rsid w:val="001E368C"/>
    <w:rsid w:val="002734A6"/>
    <w:rsid w:val="0028631B"/>
    <w:rsid w:val="002868B1"/>
    <w:rsid w:val="003F5E1B"/>
    <w:rsid w:val="00415E16"/>
    <w:rsid w:val="00436352"/>
    <w:rsid w:val="004F4384"/>
    <w:rsid w:val="0053777D"/>
    <w:rsid w:val="006009A9"/>
    <w:rsid w:val="00625ABB"/>
    <w:rsid w:val="006463D6"/>
    <w:rsid w:val="007133CC"/>
    <w:rsid w:val="00752E2E"/>
    <w:rsid w:val="0076273D"/>
    <w:rsid w:val="007F316C"/>
    <w:rsid w:val="008A7142"/>
    <w:rsid w:val="008F5AC6"/>
    <w:rsid w:val="00940171"/>
    <w:rsid w:val="00961DEB"/>
    <w:rsid w:val="009A30D9"/>
    <w:rsid w:val="009C3A87"/>
    <w:rsid w:val="009C586B"/>
    <w:rsid w:val="009E4EFF"/>
    <w:rsid w:val="00A02B48"/>
    <w:rsid w:val="00A44965"/>
    <w:rsid w:val="00AD2000"/>
    <w:rsid w:val="00B618DB"/>
    <w:rsid w:val="00D06DD7"/>
    <w:rsid w:val="00DB3129"/>
    <w:rsid w:val="00E54896"/>
    <w:rsid w:val="00EB7C33"/>
    <w:rsid w:val="00F22472"/>
    <w:rsid w:val="00F42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semsimula-paper/blob/main/companion_notes/Semantic_Attractor_Extraction.md" TargetMode="External"/><Relationship Id="rId12" Type="http://schemas.openxmlformats.org/officeDocument/2006/relationships/hyperlink" Target="https://doi.org/10.5281/zenodo.19712427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semsimula-paper/blob/main/companion_notes/Training_Instabilities_in_Fock-PARFLM_with_structured_V_theta.md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semsimula-paper/blob/main/companion_notes/Structured_VTheta_Design_and_Theory.md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1A1267-B5BC-784E-90B8-EC072744C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540</Words>
  <Characters>3083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19</cp:revision>
  <dcterms:created xsi:type="dcterms:W3CDTF">2026-06-14T10:50:00Z</dcterms:created>
  <dcterms:modified xsi:type="dcterms:W3CDTF">2026-06-19T15:38:00Z</dcterms:modified>
</cp:coreProperties>
</file>