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26850DE7" w14:textId="09018F90" w:rsidR="00D63637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812184" w:history="1">
            <w:r w:rsidR="00D63637" w:rsidRPr="00890255">
              <w:rPr>
                <w:rStyle w:val="Hyperlink"/>
                <w:noProof/>
              </w:rPr>
              <w:t>Reference Vanilla Architecture for the Scalar Potential Language Model</w:t>
            </w:r>
            <w:r w:rsidR="00D63637">
              <w:rPr>
                <w:noProof/>
                <w:webHidden/>
              </w:rPr>
              <w:tab/>
            </w:r>
            <w:r w:rsidR="00D63637">
              <w:rPr>
                <w:noProof/>
                <w:webHidden/>
              </w:rPr>
              <w:fldChar w:fldCharType="begin"/>
            </w:r>
            <w:r w:rsidR="00D63637">
              <w:rPr>
                <w:noProof/>
                <w:webHidden/>
              </w:rPr>
              <w:instrText xml:space="preserve"> PAGEREF _Toc230812184 \h </w:instrText>
            </w:r>
            <w:r w:rsidR="00D63637">
              <w:rPr>
                <w:noProof/>
                <w:webHidden/>
              </w:rPr>
            </w:r>
            <w:r w:rsidR="00D63637"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</w:t>
            </w:r>
            <w:r w:rsidR="00D63637">
              <w:rPr>
                <w:noProof/>
                <w:webHidden/>
              </w:rPr>
              <w:fldChar w:fldCharType="end"/>
            </w:r>
          </w:hyperlink>
        </w:p>
        <w:p w14:paraId="597318B4" w14:textId="223106AE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85" w:history="1">
            <w:r w:rsidRPr="00890255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79DAA" w14:textId="3F899EB8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6" w:history="1">
            <w:r w:rsidRPr="00890255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8484C" w14:textId="576BF6ED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7" w:history="1">
            <w:r w:rsidRPr="00890255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A2E4D" w14:textId="0E28FE63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8" w:history="1">
            <w:r w:rsidRPr="00890255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F1DA2" w14:textId="6D2A1F3B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9" w:history="1">
            <w:r w:rsidRPr="00890255">
              <w:rPr>
                <w:rStyle w:val="Hyperlink"/>
                <w:noProof/>
              </w:rPr>
              <w:t>Derived / Intermediate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B71A" w14:textId="1D5BAEC3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0" w:history="1">
            <w:r w:rsidRPr="00890255">
              <w:rPr>
                <w:rStyle w:val="Hyperlink"/>
                <w:noProof/>
              </w:rPr>
              <w:t>Loss and Training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45D3" w14:textId="456AB9F2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1" w:history="1">
            <w:r w:rsidRPr="00890255">
              <w:rPr>
                <w:rStyle w:val="Hyperlink"/>
                <w:noProof/>
              </w:rPr>
              <w:t>Oracle-Fit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8046" w14:textId="17C0F286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2" w:history="1">
            <w:r w:rsidRPr="00890255">
              <w:rPr>
                <w:rStyle w:val="Hyperlink"/>
                <w:noProof/>
              </w:rPr>
              <w:t>Architectural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1E85A" w14:textId="7A46A089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3" w:history="1">
            <w:r w:rsidRPr="00890255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A654" w14:textId="77709C71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4" w:history="1">
            <w:r w:rsidRPr="00890255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8B1FE" w14:textId="35C78CB3" w:rsidR="00D63637" w:rsidRDefault="00D6363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812195" w:history="1">
            <w:r w:rsidRPr="0089025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13013" w14:textId="5AA46FC7" w:rsidR="00D63637" w:rsidRDefault="00D6363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812196" w:history="1">
            <w:r w:rsidRPr="00890255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DF15D" w14:textId="33FA0C90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7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159EB" w14:textId="71404A07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8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3841A" w14:textId="1A310947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9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E3B0" w14:textId="67ABD1B0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0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EB5B9" w14:textId="7E1F17E5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1" w:history="1">
            <w:r w:rsidRPr="00890255">
              <w:rPr>
                <w:rStyle w:val="Hyperlink"/>
                <w:noProof/>
              </w:rPr>
              <w:t xml:space="preserve">The SPLM Config : 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4B6E" w14:textId="234F20AE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2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90E7" w14:textId="41DC2C02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3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3D4DF" w14:textId="79A2BDF0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4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A3885" w14:textId="69E78DC2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5" w:history="1">
            <w:r w:rsidRPr="00890255">
              <w:rPr>
                <w:rStyle w:val="Hyperlink"/>
                <w:noProof/>
              </w:rPr>
              <w:t xml:space="preserve">The SARF Config - 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010F" w14:textId="053021D1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6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085DF" w14:textId="3E9168FC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7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ABA8" w14:textId="11749C01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8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2183B" w14:textId="05866944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9" w:history="1">
            <w:r w:rsidRPr="00890255">
              <w:rPr>
                <w:rStyle w:val="Hyperlink"/>
                <w:noProof/>
              </w:rPr>
              <w:t xml:space="preserve">The Config Class: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2F78853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81218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81218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81218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w:lastRenderedPageBreak/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81218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81218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1D032983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r w:rsidR="00596E77">
        <w:rPr>
          <w:rFonts w:eastAsiaTheme="minorEastAsia"/>
        </w:rPr>
        <w:t>tiny,</w:t>
      </w:r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4662786D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 w:rsidR="00596E77">
        <w:rPr>
          <w:rFonts w:eastAsiaTheme="minorEastAsia"/>
        </w:rPr>
        <w:t xml:space="preserve"> to ensure positivity.</w:t>
      </w:r>
    </w:p>
    <w:p w14:paraId="6E3ED30D" w14:textId="7CAFD4AE" w:rsidR="00C572EB" w:rsidRDefault="00596E77" w:rsidP="00476C29">
      <w:pPr>
        <w:rPr>
          <w:rFonts w:eastAsiaTheme="minorEastAsia"/>
        </w:rPr>
      </w:pPr>
      <w:r>
        <w:t xml:space="preserve">Three modes in the SARF-mass variant: </w:t>
      </w:r>
      <w:r w:rsidRPr="00596E77">
        <w:rPr>
          <w:b/>
          <w:bCs/>
        </w:rPr>
        <w:t>(a)</w:t>
      </w:r>
      <w:r>
        <w:t xml:space="preserve"> </w:t>
      </w:r>
      <w:r w:rsidRPr="00596E77">
        <w:rPr>
          <w:i/>
          <w:iCs/>
        </w:rPr>
        <w:t>global</w:t>
      </w:r>
      <w:r>
        <w:t xml:space="preserve"> – single scalar shared by all tokens </w:t>
      </w:r>
      <w:r w:rsidRPr="00596E77">
        <w:rPr>
          <w:b/>
          <w:bCs/>
        </w:rPr>
        <w:t>(b)</w:t>
      </w:r>
      <w:r>
        <w:t xml:space="preserve"> </w:t>
      </w:r>
      <w:r w:rsidRPr="00596E77">
        <w:rPr>
          <w:i/>
          <w:iCs/>
        </w:rPr>
        <w:t>embed_head</w:t>
      </w:r>
      <w: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cr m:val="fraktur"/>
                      </m:rP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,E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</w:t>
      </w:r>
      <w:r w:rsidRPr="00596E77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</w:t>
      </w:r>
      <w:r w:rsidRPr="00596E77">
        <w:rPr>
          <w:rFonts w:eastAsiaTheme="minorEastAsia"/>
          <w:i/>
          <w:iCs/>
        </w:rPr>
        <w:t>logfreq</w:t>
      </w:r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</m:func>
      </m:oMath>
      <w:r w:rsidR="00CC256D">
        <w:rPr>
          <w:rFonts w:eastAsiaTheme="minorEastAsia"/>
        </w:rPr>
        <w:t xml:space="preserve"> is unigram surprisal.</w:t>
      </w:r>
      <w:r w:rsidR="00901A52">
        <w:rPr>
          <w:rFonts w:eastAsiaTheme="minorEastAsia"/>
        </w:rPr>
        <w:t xml:space="preserve"> In code: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self.m</w:t>
      </w:r>
      <w:r w:rsidR="00901A52">
        <w:rPr>
          <w:rFonts w:eastAsiaTheme="minorEastAsia"/>
        </w:rPr>
        <w:t xml:space="preserve"> /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self.raw_m</w:t>
      </w:r>
      <w:r w:rsidR="00901A52">
        <w:rPr>
          <w:rFonts w:eastAsiaTheme="minorEastAsia"/>
        </w:rPr>
        <w:t xml:space="preserve">. Shape: scalar or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(B, T, 1)</w:t>
      </w:r>
    </w:p>
    <w:p w14:paraId="59D34627" w14:textId="77777777" w:rsidR="00CC256D" w:rsidRDefault="00CC256D" w:rsidP="00476C29">
      <w:pPr>
        <w:rPr>
          <w:rFonts w:eastAsiaTheme="minorEastAsia"/>
        </w:rPr>
      </w:pPr>
    </w:p>
    <w:p w14:paraId="77432B50" w14:textId="597C91A4" w:rsidR="00CC256D" w:rsidRDefault="00901A52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damping coefficient</w:t>
      </w:r>
      <w:r w:rsidR="00D01904">
        <w:rPr>
          <w:rFonts w:eastAsiaTheme="minorEastAsia"/>
        </w:rPr>
        <w:t xml:space="preserve">, controls the rate at which velocity decays. Given with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</m:sSub>
          </m:e>
        </m:d>
      </m:oMath>
      <w:r w:rsidR="00D01904">
        <w:rPr>
          <w:rFonts w:eastAsiaTheme="minorEastAsia"/>
        </w:rPr>
        <w:t xml:space="preserve">. Can be learned or fixed. In code :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self.raw_gamma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cfg.fixed_gamma</w:t>
      </w:r>
      <w:r w:rsidR="00D01904">
        <w:rPr>
          <w:rFonts w:eastAsiaTheme="minorEastAsia"/>
        </w:rPr>
        <w:t>.</w:t>
      </w:r>
    </w:p>
    <w:p w14:paraId="2DA0CB61" w14:textId="77777777" w:rsidR="00D01904" w:rsidRDefault="00D01904" w:rsidP="00476C29">
      <w:pPr>
        <w:rPr>
          <w:rFonts w:eastAsiaTheme="minorEastAsia"/>
        </w:rPr>
      </w:pPr>
    </w:p>
    <w:p w14:paraId="0360049B" w14:textId="517C0D09" w:rsidR="00D01904" w:rsidRDefault="00592AA9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– logfreq scale factor for the surprisal-based mass mode, only present when </w:t>
      </w:r>
      <w:r w:rsidRPr="00592AA9">
        <w:rPr>
          <w:rFonts w:ascii="Consolas" w:eastAsiaTheme="minorEastAsia" w:hAnsi="Consolas" w:cs="Consolas"/>
          <w:color w:val="C00000"/>
          <w:sz w:val="17"/>
          <w:szCs w:val="17"/>
        </w:rPr>
        <w:t>mass_mode = “logfreq”</w:t>
      </w:r>
      <w:r w:rsidR="002852B7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logfreq</m:t>
                </m:r>
              </m:sup>
            </m:sSubSup>
          </m:e>
        </m:d>
      </m:oMath>
      <w:r w:rsidR="002852B7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52B7">
        <w:rPr>
          <w:rFonts w:eastAsiaTheme="minorEastAsia"/>
        </w:rPr>
        <w:t xml:space="preserve">In code: </w:t>
      </w:r>
      <w:r w:rsidR="002852B7" w:rsidRPr="0067726C">
        <w:rPr>
          <w:rFonts w:ascii="Consolas" w:eastAsiaTheme="minorEastAsia" w:hAnsi="Consolas" w:cs="Consolas"/>
          <w:color w:val="C00000"/>
          <w:sz w:val="17"/>
          <w:szCs w:val="17"/>
        </w:rPr>
        <w:t>self.raw_logfreq_alpha</w:t>
      </w:r>
      <w:r w:rsidR="002852B7">
        <w:rPr>
          <w:rFonts w:eastAsiaTheme="minorEastAsia"/>
        </w:rPr>
        <w:t>. Shape: scalar</w:t>
      </w:r>
    </w:p>
    <w:p w14:paraId="7A47242A" w14:textId="77777777" w:rsidR="00D01904" w:rsidRDefault="00D01904" w:rsidP="00476C29">
      <w:pPr>
        <w:rPr>
          <w:rFonts w:eastAsiaTheme="minorEastAsia"/>
        </w:rPr>
      </w:pPr>
    </w:p>
    <w:p w14:paraId="32923987" w14:textId="728D1570" w:rsidR="00D01904" w:rsidRDefault="0067726C" w:rsidP="0067726C">
      <w:pPr>
        <w:pStyle w:val="Heading3"/>
      </w:pPr>
      <w:bookmarkStart w:id="5" w:name="_Toc230812189"/>
      <w:r>
        <w:t>Derived / Intermediate Quantities</w:t>
      </w:r>
      <w:bookmarkEnd w:id="5"/>
    </w:p>
    <w:p w14:paraId="25A0BA06" w14:textId="77777777" w:rsidR="0067726C" w:rsidRDefault="0067726C" w:rsidP="00476C29"/>
    <w:p w14:paraId="6E64BCCC" w14:textId="59B11DB7" w:rsidR="0067726C" w:rsidRDefault="00A47478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</m:oMath>
      <w:r>
        <w:rPr>
          <w:rFonts w:eastAsiaTheme="minorEastAsia"/>
        </w:rPr>
        <w:t xml:space="preserve"> - scalar potential energy evaluated at position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with context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>.</w:t>
      </w:r>
      <w:r w:rsidR="003A19CD">
        <w:rPr>
          <w:rFonts w:eastAsiaTheme="minorEastAsia"/>
        </w:rPr>
        <w:t xml:space="preserve"> In code: </w:t>
      </w:r>
      <w:r w:rsidR="003A19CD" w:rsidRPr="003A19CD">
        <w:rPr>
          <w:rFonts w:ascii="Consolas" w:eastAsiaTheme="minorEastAsia" w:hAnsi="Consolas" w:cs="Consolas"/>
          <w:color w:val="C00000"/>
          <w:sz w:val="17"/>
          <w:szCs w:val="17"/>
        </w:rPr>
        <w:t>self.V_theta(xi_now, h_in).sum()</w:t>
      </w:r>
      <w:r w:rsidR="003A19CD">
        <w:rPr>
          <w:rFonts w:eastAsiaTheme="minorEastAsia"/>
        </w:rPr>
        <w:t xml:space="preserve">. </w:t>
      </w:r>
      <w:r w:rsidR="00DB27A8">
        <w:rPr>
          <w:rFonts w:eastAsiaTheme="minorEastAsia"/>
        </w:rPr>
        <w:t xml:space="preserve">The </w:t>
      </w:r>
      <w:r w:rsidR="00DB27A8" w:rsidRPr="00C203FC">
        <w:rPr>
          <w:rFonts w:ascii="Consolas" w:eastAsiaTheme="minorEastAsia" w:hAnsi="Consolas" w:cs="Consolas"/>
          <w:color w:val="C00000"/>
          <w:sz w:val="17"/>
          <w:szCs w:val="17"/>
        </w:rPr>
        <w:t>.sum()</w:t>
      </w:r>
      <w:r w:rsidR="00DB27A8">
        <w:rPr>
          <w:rFonts w:eastAsiaTheme="minorEastAsia"/>
        </w:rPr>
        <w:t xml:space="preserve"> aggregates over batch and position for a single backward pass; per-token gradients emerge because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B27A8">
        <w:rPr>
          <w:rFonts w:eastAsiaTheme="minorEastAsia"/>
        </w:rPr>
        <w:t xml:space="preserve"> contributes independently to its own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DB27A8">
        <w:rPr>
          <w:rFonts w:eastAsiaTheme="minorEastAsia"/>
        </w:rPr>
        <w:t xml:space="preserve"> slice. </w:t>
      </w:r>
    </w:p>
    <w:p w14:paraId="45DC1FD9" w14:textId="77777777" w:rsidR="00DB27A8" w:rsidRDefault="00DB27A8" w:rsidP="00476C29">
      <w:pPr>
        <w:rPr>
          <w:rFonts w:eastAsiaTheme="minorEastAsia"/>
        </w:rPr>
      </w:pPr>
    </w:p>
    <w:p w14:paraId="33729EFC" w14:textId="70A9E357" w:rsidR="00DB27A8" w:rsidRDefault="00C203F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cr m:val="fraktur"/>
              </m:rPr>
              <w:rPr>
                <w:rFonts w:ascii="Cambria Math" w:hAnsi="Cambria Math"/>
              </w:rPr>
              <m:t>/m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</m:t>
            </m:r>
            <m:r>
              <w:rPr>
                <w:rFonts w:ascii="Cambria Math" w:hAnsi="Cambria Math"/>
              </w:rPr>
              <m:t>γ</m:t>
            </m:r>
          </m:den>
        </m:f>
      </m:oMath>
      <w:r>
        <w:t xml:space="preserve">  - velocity update via damped semi-implicit Euler (one half of the Velocity-Verlet scheme). In code: </w:t>
      </w:r>
      <w:r w:rsidRPr="00C203FC">
        <w:rPr>
          <w:rFonts w:ascii="Consolas" w:hAnsi="Consolas" w:cs="Consolas"/>
          <w:color w:val="C00000"/>
          <w:sz w:val="17"/>
          <w:szCs w:val="17"/>
        </w:rPr>
        <w:t>v = (v + dt * f / m) / (1 + dt * gamma)</w:t>
      </w:r>
      <w:r>
        <w:t>.</w:t>
      </w:r>
    </w:p>
    <w:p w14:paraId="7D4E941B" w14:textId="77777777" w:rsidR="00C203FC" w:rsidRDefault="00C203FC" w:rsidP="00476C29"/>
    <w:p w14:paraId="45D08D90" w14:textId="4E71B1BB" w:rsidR="00C203FC" w:rsidRDefault="007736CB" w:rsidP="007736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t xml:space="preserve"> - position update (second half of Verlet). In code: </w:t>
      </w:r>
      <w:r w:rsidRPr="007736CB">
        <w:rPr>
          <w:rFonts w:ascii="Consolas" w:hAnsi="Consolas" w:cs="Consolas"/>
          <w:color w:val="C00000"/>
          <w:sz w:val="17"/>
          <w:szCs w:val="17"/>
        </w:rPr>
        <w:t>h = h_in + dt * v</w:t>
      </w:r>
      <w:r>
        <w:t>.</w:t>
      </w:r>
    </w:p>
    <w:p w14:paraId="49D1B6B4" w14:textId="77777777" w:rsidR="00C203FC" w:rsidRDefault="00C203FC" w:rsidP="00476C29"/>
    <w:p w14:paraId="1F7CAC33" w14:textId="54303735" w:rsidR="007736CB" w:rsidRDefault="007736CB" w:rsidP="00476C29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∆t∙γ</m:t>
            </m:r>
          </m:den>
        </m:f>
      </m:oMath>
      <w:r>
        <w:t xml:space="preserve"> - velocity retention – fraction of velocity surviving each step.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=1.0, </m:t>
        </m:r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=1.0</m:t>
        </m:r>
      </m:oMath>
      <w:r>
        <w:rPr>
          <w:rFonts w:eastAsiaTheme="minorEastAsia"/>
        </w:rPr>
        <w:t xml:space="preserve"> the velocity retention is </w:t>
      </w:r>
      <m:oMath>
        <m:r>
          <w:rPr>
            <w:rFonts w:ascii="Cambria Math" w:eastAsiaTheme="minorEastAsia" w:hAnsi="Cambria Math"/>
          </w:rPr>
          <m:t>0.5</m:t>
        </m:r>
      </m:oMath>
      <w:r>
        <w:rPr>
          <w:rFonts w:eastAsiaTheme="minorEastAsia"/>
        </w:rPr>
        <w:t xml:space="preserve">;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=2.4</m:t>
        </m:r>
      </m:oMath>
      <w:r>
        <w:rPr>
          <w:rFonts w:eastAsiaTheme="minorEastAsia"/>
        </w:rPr>
        <w:t xml:space="preserve"> (Experiment A learned value) the velocity retention becomes </w:t>
      </w:r>
      <m:oMath>
        <m:r>
          <w:rPr>
            <w:rFonts w:ascii="Cambria Math" w:eastAsiaTheme="minorEastAsia" w:hAnsi="Cambria Math"/>
          </w:rPr>
          <m:t>0.294</m:t>
        </m:r>
      </m:oMath>
      <w:r>
        <w:rPr>
          <w:rFonts w:eastAsiaTheme="minorEastAsia"/>
        </w:rPr>
        <w:t>.</w:t>
      </w:r>
    </w:p>
    <w:p w14:paraId="426D2172" w14:textId="77777777" w:rsidR="007736CB" w:rsidRDefault="007736CB" w:rsidP="00476C29">
      <w:pPr>
        <w:rPr>
          <w:rFonts w:eastAsiaTheme="minorEastAsia"/>
        </w:rPr>
      </w:pPr>
    </w:p>
    <w:p w14:paraId="3BA7EBE0" w14:textId="556A87E8" w:rsidR="007736CB" w:rsidRPr="00596E77" w:rsidRDefault="007736CB" w:rsidP="00476C29">
      <m:oMath>
        <m:r>
          <m:rPr>
            <m:sty m:val="p"/>
          </m:rPr>
          <w:rPr>
            <w:rFonts w:ascii="Cambria Math" w:eastAsiaTheme="minorEastAsia" w:hAnsi="Cambria Math"/>
          </w:rPr>
          <m:t>LayerNorm</m:t>
        </m:r>
      </m:oMath>
      <w:r>
        <w:rPr>
          <w:rFonts w:eastAsiaTheme="minorEastAsia"/>
        </w:rPr>
        <w:t xml:space="preserve"> projection -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←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h-μ</m:t>
            </m:r>
          </m:num>
          <m:den>
            <m:r>
              <w:rPr>
                <w:rFonts w:ascii="Cambria Math" w:eastAsiaTheme="minorEastAsia" w:hAnsi="Cambria Math"/>
              </w:rPr>
              <m:t>σ+ε</m:t>
            </m:r>
          </m:den>
        </m:f>
      </m:oMath>
      <w:r>
        <w:rPr>
          <w:rFonts w:eastAsiaTheme="minorEastAsia"/>
        </w:rPr>
        <w:t xml:space="preserve"> after each step, projecting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to the unit-norm shell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d-1</m:t>
            </m:r>
          </m:sup>
        </m:sSup>
      </m:oMath>
      <w:r>
        <w:rPr>
          <w:rFonts w:eastAsiaTheme="minorEastAsia"/>
        </w:rPr>
        <w:t xml:space="preserve"> (up to mean shift). Ensures compactness of the domain and a finite minimum of any continuous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. In code: </w:t>
      </w:r>
      <w:r w:rsidRPr="007736CB">
        <w:rPr>
          <w:rFonts w:ascii="Consolas" w:eastAsiaTheme="minorEastAsia" w:hAnsi="Consolas" w:cs="Consolas"/>
          <w:color w:val="C00000"/>
          <w:sz w:val="17"/>
          <w:szCs w:val="17"/>
        </w:rPr>
        <w:t>self._project(h)</w:t>
      </w:r>
      <w:r>
        <w:rPr>
          <w:rFonts w:eastAsiaTheme="minorEastAsia"/>
        </w:rPr>
        <w:t>.</w:t>
      </w:r>
    </w:p>
    <w:p w14:paraId="6F8B0115" w14:textId="77777777" w:rsidR="001135C0" w:rsidRDefault="001135C0" w:rsidP="00476C29"/>
    <w:p w14:paraId="3E1C23DC" w14:textId="77777777" w:rsidR="00247A90" w:rsidRDefault="00247A9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logits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p>
        </m:sSub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7736CB">
        <w:t xml:space="preserve"> </w:t>
      </w:r>
      <w:r>
        <w:t xml:space="preserve">– </w:t>
      </w:r>
      <w:r w:rsidR="007736CB">
        <w:t>Logits</w:t>
      </w:r>
      <w:r>
        <w:t xml:space="preserve"> as defined in classical network architectures</w:t>
      </w:r>
    </w:p>
    <w:p w14:paraId="6E0B7AC9" w14:textId="77777777" w:rsidR="00247A90" w:rsidRDefault="00247A90" w:rsidP="00476C29"/>
    <w:p w14:paraId="03925129" w14:textId="77777777" w:rsidR="00247A90" w:rsidRDefault="00247A90" w:rsidP="00247A90">
      <w:pPr>
        <w:pStyle w:val="Heading3"/>
      </w:pPr>
      <w:bookmarkStart w:id="6" w:name="_Toc230812190"/>
      <w:r>
        <w:t>Loss and Training Quantities</w:t>
      </w:r>
      <w:bookmarkEnd w:id="6"/>
    </w:p>
    <w:p w14:paraId="7D259C8A" w14:textId="77777777" w:rsidR="00247A90" w:rsidRDefault="00247A90" w:rsidP="00476C29"/>
    <w:p w14:paraId="578054D8" w14:textId="71F46DB0" w:rsidR="007736CB" w:rsidRDefault="007736CB" w:rsidP="00476C29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NTP</m:t>
            </m:r>
          </m:sub>
        </m:sSub>
      </m:oMath>
      <w:r w:rsidR="00C72117">
        <w:rPr>
          <w:rFonts w:eastAsiaTheme="minorEastAsia"/>
        </w:rPr>
        <w:t xml:space="preserve"> - next token cross entropy loss</w:t>
      </w:r>
      <w:r w:rsidR="00806F83">
        <w:rPr>
          <w:rFonts w:eastAsiaTheme="minorEastAsia"/>
        </w:rPr>
        <w:t xml:space="preserve">. The only training objective in the vanilla SPLM – no auxiliary regularizers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806F83">
        <w:rPr>
          <w:rFonts w:eastAsiaTheme="minorEastAsia"/>
        </w:rPr>
        <w:t xml:space="preserve">,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806F83">
        <w:rPr>
          <w:rFonts w:eastAsiaTheme="minorEastAsia"/>
        </w:rPr>
        <w:t xml:space="preserve">, or </w:t>
      </w:r>
      <m:oMath>
        <m:r>
          <w:rPr>
            <w:rFonts w:ascii="Cambria Math" w:hAnsi="Cambria Math"/>
          </w:rPr>
          <m:t>γ</m:t>
        </m:r>
      </m:oMath>
      <w:r w:rsidR="00806F83">
        <w:rPr>
          <w:rFonts w:eastAsiaTheme="minorEastAsia"/>
        </w:rPr>
        <w:t xml:space="preserve">. In code: </w:t>
      </w:r>
      <w:r w:rsidR="00806F83" w:rsidRPr="00806F83">
        <w:rPr>
          <w:rFonts w:ascii="Consolas" w:eastAsiaTheme="minorEastAsia" w:hAnsi="Consolas" w:cs="Consolas"/>
          <w:color w:val="C00000"/>
          <w:sz w:val="17"/>
          <w:szCs w:val="17"/>
        </w:rPr>
        <w:t>F.cross_entropy(logits, targets)</w:t>
      </w:r>
      <w:r w:rsidR="00806F83">
        <w:rPr>
          <w:rFonts w:eastAsiaTheme="minorEastAsia"/>
        </w:rPr>
        <w:t>.</w:t>
      </w:r>
    </w:p>
    <w:p w14:paraId="0EED0462" w14:textId="77777777" w:rsidR="00806F83" w:rsidRDefault="00806F83" w:rsidP="00476C29">
      <w:pPr>
        <w:rPr>
          <w:rFonts w:eastAsiaTheme="minorEastAsia"/>
        </w:rPr>
      </w:pPr>
    </w:p>
    <w:p w14:paraId="1195454F" w14:textId="0308A8A6" w:rsidR="00806F83" w:rsidRDefault="00806F83" w:rsidP="00476C29">
      <w:pPr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NTP</m:t>
                </m:r>
              </m:sub>
            </m:sSub>
          </m:e>
        </m:func>
      </m:oMath>
      <w:r>
        <w:rPr>
          <w:rFonts w:eastAsiaTheme="minorEastAsia"/>
        </w:rPr>
        <w:t xml:space="preserve"> – The Perplexity (PPL) : it is our primary evaluation metric </w:t>
      </w:r>
    </w:p>
    <w:p w14:paraId="297CD913" w14:textId="77777777" w:rsidR="00806F83" w:rsidRDefault="00806F83" w:rsidP="00476C29">
      <w:pPr>
        <w:rPr>
          <w:rFonts w:eastAsiaTheme="minorEastAsia"/>
        </w:rPr>
      </w:pPr>
    </w:p>
    <w:p w14:paraId="66EC7F14" w14:textId="1D298336" w:rsidR="00806F83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Weight decay – </w:t>
      </w:r>
      <w:r w:rsidRPr="00A02EC6">
        <w:rPr>
          <w:rFonts w:ascii="Consolas" w:eastAsiaTheme="minorEastAsia" w:hAnsi="Consolas" w:cs="Consolas"/>
          <w:sz w:val="17"/>
          <w:szCs w:val="17"/>
        </w:rPr>
        <w:t>AdamW</w:t>
      </w:r>
      <w:r>
        <w:rPr>
          <w:rFonts w:eastAsiaTheme="minorEastAsia"/>
        </w:rPr>
        <w:t xml:space="preserve"> parameter; it is L2 penalty on all parameters,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weight_decay</w:t>
      </w:r>
      <w:r>
        <w:rPr>
          <w:rFonts w:eastAsiaTheme="minorEastAsia"/>
        </w:rPr>
        <w:t xml:space="preserve">. Typical values: </w:t>
      </w:r>
      <m:oMath>
        <m:r>
          <w:rPr>
            <w:rFonts w:ascii="Cambria Math" w:eastAsiaTheme="minorEastAsia" w:hAnsi="Cambria Math"/>
          </w:rPr>
          <m:t>0.01</m:t>
        </m:r>
      </m:oMath>
      <w:r>
        <w:rPr>
          <w:rFonts w:eastAsiaTheme="minorEastAsia"/>
        </w:rPr>
        <w:t xml:space="preserve"> for Shakespeare, </w:t>
      </w:r>
      <m:oMath>
        <m:r>
          <w:rPr>
            <w:rFonts w:ascii="Cambria Math" w:eastAsiaTheme="minorEastAsia" w:hAnsi="Cambria Math"/>
          </w:rPr>
          <m:t>0.0</m:t>
        </m:r>
      </m:oMath>
      <w:r>
        <w:rPr>
          <w:rFonts w:eastAsiaTheme="minorEastAsia"/>
        </w:rPr>
        <w:t xml:space="preserve"> for smoke.</w:t>
      </w:r>
    </w:p>
    <w:p w14:paraId="54649278" w14:textId="77777777" w:rsidR="00A02EC6" w:rsidRDefault="00A02EC6" w:rsidP="00476C29">
      <w:pPr>
        <w:rPr>
          <w:rFonts w:eastAsiaTheme="minorEastAsia"/>
        </w:rPr>
      </w:pPr>
    </w:p>
    <w:p w14:paraId="7CB1D455" w14:textId="6743C88E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Gradient clip – maximum gradient norm,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grad_clip</w:t>
      </w:r>
      <w:r>
        <w:rPr>
          <w:rFonts w:eastAsiaTheme="minorEastAsia"/>
        </w:rPr>
        <w:t xml:space="preserve">,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nn.utils.clip_grad_norm_</w:t>
      </w:r>
      <w:r>
        <w:rPr>
          <w:rFonts w:eastAsiaTheme="minorEastAsia"/>
        </w:rPr>
        <w:t xml:space="preserve">, prevents integrator instability during early training, typical value: </w:t>
      </w:r>
      <m:oMath>
        <m:r>
          <w:rPr>
            <w:rFonts w:ascii="Cambria Math" w:eastAsiaTheme="minorEastAsia" w:hAnsi="Cambria Math"/>
          </w:rPr>
          <m:t>1.0</m:t>
        </m:r>
      </m:oMath>
    </w:p>
    <w:p w14:paraId="24324A72" w14:textId="77777777" w:rsidR="00A02EC6" w:rsidRDefault="00A02EC6" w:rsidP="00476C29">
      <w:pPr>
        <w:rPr>
          <w:rFonts w:eastAsiaTheme="minorEastAsia"/>
        </w:rPr>
      </w:pPr>
    </w:p>
    <w:p w14:paraId="25D3FBB7" w14:textId="1273D7FD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LR Schedule – cosine annealing with linear warmup.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lr_schedule(step, ...)</w:t>
      </w:r>
      <w:r>
        <w:rPr>
          <w:rFonts w:eastAsiaTheme="minorEastAsia"/>
        </w:rPr>
        <w:t xml:space="preserve">. Warmup: </w:t>
      </w:r>
      <m:oMath>
        <m:r>
          <w:rPr>
            <w:rFonts w:ascii="Cambria Math" w:eastAsiaTheme="minorEastAsia" w:hAnsi="Cambria Math"/>
          </w:rPr>
          <m:t>20</m:t>
        </m:r>
      </m:oMath>
      <w:r>
        <w:rPr>
          <w:rFonts w:eastAsiaTheme="minorEastAsia"/>
        </w:rPr>
        <w:t xml:space="preserve"> (smoke) / </w:t>
      </w:r>
      <m:oMath>
        <m:r>
          <w:rPr>
            <w:rFonts w:ascii="Cambria Math" w:eastAsiaTheme="minorEastAsia" w:hAnsi="Cambria Math"/>
          </w:rPr>
          <m:t>200</m:t>
        </m:r>
      </m:oMath>
      <w:r>
        <w:rPr>
          <w:rFonts w:eastAsiaTheme="minorEastAsia"/>
        </w:rPr>
        <w:t xml:space="preserve"> (Shakespeare) steps</w:t>
      </w:r>
    </w:p>
    <w:p w14:paraId="2AE5D40B" w14:textId="77777777" w:rsidR="00806F83" w:rsidRDefault="00806F83" w:rsidP="00476C29">
      <w:pPr>
        <w:rPr>
          <w:rFonts w:eastAsiaTheme="minorEastAsia"/>
        </w:rPr>
      </w:pPr>
    </w:p>
    <w:p w14:paraId="3824C7BC" w14:textId="0AD56A5A" w:rsidR="00A02EC6" w:rsidRDefault="00CC2EB8" w:rsidP="00CC2EB8">
      <w:pPr>
        <w:pStyle w:val="Heading3"/>
        <w:rPr>
          <w:rFonts w:eastAsiaTheme="minorEastAsia"/>
        </w:rPr>
      </w:pPr>
      <w:bookmarkStart w:id="7" w:name="_Toc230812191"/>
      <w:r>
        <w:rPr>
          <w:rFonts w:eastAsiaTheme="minorEastAsia"/>
        </w:rPr>
        <w:t>Oracle-Fit Quantities</w:t>
      </w:r>
      <w:bookmarkEnd w:id="7"/>
      <w:r>
        <w:rPr>
          <w:rFonts w:eastAsiaTheme="minorEastAsia"/>
        </w:rPr>
        <w:t xml:space="preserve"> </w:t>
      </w:r>
    </w:p>
    <w:p w14:paraId="218EE467" w14:textId="77777777" w:rsidR="0007001C" w:rsidRPr="0007001C" w:rsidRDefault="0007001C" w:rsidP="0007001C"/>
    <w:p w14:paraId="7EF3435C" w14:textId="2894EEBA" w:rsidR="00CC2EB8" w:rsidRDefault="0007001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per-layer scalar coefficient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200D1F">
        <w:rPr>
          <w:rFonts w:eastAsiaTheme="minorEastAsia"/>
        </w:rPr>
        <w:t xml:space="preserve"> in the oracle regression: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 xml:space="preserve"> ~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∇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θ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e>
            </m:d>
          </m:e>
        </m:d>
      </m:oMath>
      <w:r w:rsidR="00200D1F">
        <w:rPr>
          <w:rFonts w:eastAsiaTheme="minorEastAsia"/>
        </w:rPr>
        <w:t xml:space="preserve"> </w:t>
      </w:r>
      <w:r w:rsidR="00B73D61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 xml:space="preserve"> :=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B73D61">
        <w:rPr>
          <w:rFonts w:eastAsiaTheme="minorEastAsia"/>
        </w:rPr>
        <w:t xml:space="preserve"> </w:t>
      </w:r>
      <w:r w:rsidR="00200D1F">
        <w:rPr>
          <w:rFonts w:eastAsiaTheme="minorEastAsia"/>
        </w:rPr>
        <w:t xml:space="preserve">. Fitten by closed form least squares. In code: </w:t>
      </w:r>
      <w:r w:rsidR="00200D1F" w:rsidRPr="00200D1F">
        <w:rPr>
          <w:rFonts w:ascii="Consolas" w:eastAsiaTheme="minorEastAsia" w:hAnsi="Consolas" w:cs="Consolas"/>
          <w:color w:val="C00000"/>
          <w:sz w:val="17"/>
          <w:szCs w:val="17"/>
        </w:rPr>
        <w:t>alpha[ell]</w:t>
      </w:r>
      <w:r w:rsidR="00200D1F">
        <w:rPr>
          <w:rFonts w:eastAsiaTheme="minorEastAsia"/>
        </w:rPr>
        <w:t>.</w:t>
      </w:r>
    </w:p>
    <w:p w14:paraId="2B2986E1" w14:textId="77777777" w:rsidR="00200D1F" w:rsidRDefault="00200D1F" w:rsidP="00476C29">
      <w:pPr>
        <w:rPr>
          <w:rFonts w:eastAsiaTheme="minorEastAsia"/>
        </w:rPr>
      </w:pPr>
    </w:p>
    <w:p w14:paraId="655EF004" w14:textId="1A863473" w:rsidR="00200D1F" w:rsidRDefault="00200D1F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per-layer scalar coefficient on</w:t>
      </w:r>
      <w:r>
        <w:rPr>
          <w:rFonts w:eastAsiaTheme="minorEastAsia"/>
        </w:rPr>
        <w:t xml:space="preserve"> the conservative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 in the oracle regression. Together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β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 measure how much of the per-layer state change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is explained by the model’s own learned potential. In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beta[ell]</w:t>
      </w:r>
      <w:r>
        <w:rPr>
          <w:rFonts w:eastAsiaTheme="minorEastAsia"/>
        </w:rPr>
        <w:t>.</w:t>
      </w:r>
    </w:p>
    <w:p w14:paraId="187D9844" w14:textId="77777777" w:rsidR="00200D1F" w:rsidRDefault="00200D1F" w:rsidP="00476C29">
      <w:pPr>
        <w:rPr>
          <w:rFonts w:eastAsiaTheme="minorEastAsia"/>
        </w:rPr>
      </w:pPr>
    </w:p>
    <w:p w14:paraId="37A2F942" w14:textId="52A51AD8" w:rsidR="00200D1F" w:rsidRDefault="00200D1F" w:rsidP="00476C2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– Shared-potential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separator: fraction of variance in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explained by the two-scalar model. Values near 1.0 indicate the dynamics is well-described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>; values near 0 indicate the model’s potential does not explain the layer-to-layer transitions.</w:t>
      </w:r>
    </w:p>
    <w:p w14:paraId="5E58EDFE" w14:textId="77777777" w:rsidR="00200D1F" w:rsidRDefault="00200D1F" w:rsidP="00476C29">
      <w:pPr>
        <w:rPr>
          <w:rFonts w:eastAsiaTheme="minorEastAsia"/>
        </w:rPr>
      </w:pPr>
    </w:p>
    <w:p w14:paraId="19118178" w14:textId="656FB52F" w:rsidR="00200D1F" w:rsidRDefault="00200D1F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– raw hidden-state trajectory extracted from a single sentence, tensor with shape </w:t>
      </w:r>
      <m:oMath>
        <m:r>
          <w:rPr>
            <w:rFonts w:ascii="Cambria Math" w:eastAsiaTheme="minorEastAsia" w:hAnsi="Cambria Math"/>
          </w:rPr>
          <m:t>(L+1, T, d)</m:t>
        </m:r>
      </m:oMath>
      <w:r>
        <w:rPr>
          <w:rFonts w:eastAsiaTheme="minorEastAsia"/>
        </w:rPr>
        <w:t xml:space="preserve">. In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H</w:t>
      </w:r>
      <w:r>
        <w:rPr>
          <w:rFonts w:eastAsiaTheme="minorEastAsia"/>
        </w:rPr>
        <w:t>.</w:t>
      </w:r>
    </w:p>
    <w:p w14:paraId="2E2B0A6F" w14:textId="77777777" w:rsidR="00200D1F" w:rsidRDefault="00200D1F" w:rsidP="00476C29">
      <w:pPr>
        <w:rPr>
          <w:rFonts w:eastAsiaTheme="minorEastAsia"/>
        </w:rPr>
      </w:pPr>
    </w:p>
    <w:p w14:paraId="4DE00B26" w14:textId="412D3136" w:rsidR="00200D1F" w:rsidRDefault="00200D1F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GV</m:t>
        </m:r>
      </m:oMath>
      <w:r>
        <w:rPr>
          <w:rFonts w:eastAsiaTheme="minorEastAsia"/>
        </w:rPr>
        <w:t xml:space="preserve"> – gradient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at each integration step i.e.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>.</w:t>
      </w:r>
      <w:r w:rsidRPr="00200D1F">
        <w:rPr>
          <w:rFonts w:eastAsiaTheme="minorEastAsia"/>
        </w:rPr>
        <w:t xml:space="preserve"> </w:t>
      </w:r>
      <w:r>
        <w:rPr>
          <w:rFonts w:eastAsiaTheme="minorEastAsia"/>
        </w:rPr>
        <w:t xml:space="preserve">tensor with shape </w:t>
      </w:r>
      <m:oMath>
        <m:r>
          <w:rPr>
            <w:rFonts w:ascii="Cambria Math" w:eastAsiaTheme="minorEastAsia" w:hAnsi="Cambria Math"/>
          </w:rPr>
          <m:t>(L, T, d)</m:t>
        </m:r>
      </m:oMath>
      <w:r>
        <w:rPr>
          <w:rFonts w:eastAsiaTheme="minorEastAsia"/>
        </w:rPr>
        <w:t xml:space="preserve">. In code: </w:t>
      </w:r>
      <w:r>
        <w:rPr>
          <w:rFonts w:ascii="Consolas" w:eastAsiaTheme="minorEastAsia" w:hAnsi="Consolas" w:cs="Consolas"/>
          <w:color w:val="C00000"/>
          <w:sz w:val="17"/>
          <w:szCs w:val="17"/>
        </w:rPr>
        <w:t>GV</w:t>
      </w:r>
      <w:r>
        <w:rPr>
          <w:rFonts w:eastAsiaTheme="minorEastAsia"/>
        </w:rPr>
        <w:t>.</w:t>
      </w:r>
    </w:p>
    <w:p w14:paraId="01FF6837" w14:textId="77777777" w:rsidR="00200D1F" w:rsidRDefault="00200D1F" w:rsidP="00476C29">
      <w:pPr>
        <w:rPr>
          <w:rFonts w:eastAsiaTheme="minorEastAsia"/>
        </w:rPr>
      </w:pPr>
    </w:p>
    <w:p w14:paraId="46EA6E04" w14:textId="1E278AEE" w:rsidR="00200D1F" w:rsidRDefault="00200D1F" w:rsidP="00476C29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Ξ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T×d</m:t>
            </m:r>
          </m:sup>
        </m:sSup>
      </m:oMath>
      <w:r>
        <w:rPr>
          <w:rFonts w:eastAsiaTheme="minorEastAsia"/>
        </w:rPr>
        <w:t xml:space="preserve">   - context vectors used during extraction. Tensor with shape </w:t>
      </w:r>
      <m:oMath>
        <m:r>
          <w:rPr>
            <w:rFonts w:ascii="Cambria Math" w:eastAsiaTheme="minorEastAsia" w:hAnsi="Cambria Math"/>
          </w:rPr>
          <m:t>(T, d)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t xml:space="preserve"> In.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>
        <w:rPr>
          <w:rFonts w:eastAsiaTheme="minorEastAsia"/>
        </w:rPr>
        <w:t>.</w:t>
      </w:r>
    </w:p>
    <w:p w14:paraId="2D079016" w14:textId="77777777" w:rsidR="00CC2EB8" w:rsidRDefault="00CC2EB8" w:rsidP="00476C29">
      <w:pPr>
        <w:rPr>
          <w:rFonts w:eastAsiaTheme="minorEastAsia"/>
        </w:rPr>
      </w:pPr>
    </w:p>
    <w:p w14:paraId="1FC87A59" w14:textId="6A089073" w:rsidR="00E716E4" w:rsidRPr="00E716E4" w:rsidRDefault="00E716E4" w:rsidP="00476C29">
      <w:pPr>
        <w:rPr>
          <w:rFonts w:eastAsiaTheme="minorEastAsia"/>
          <w:u w:val="single"/>
        </w:rPr>
      </w:pPr>
      <w:r w:rsidRPr="00E716E4">
        <w:rPr>
          <w:rFonts w:eastAsiaTheme="minorEastAsia"/>
          <w:u w:val="single"/>
        </w:rPr>
        <w:t>Disambiguation of the context-vector subscript</w:t>
      </w:r>
    </w:p>
    <w:p w14:paraId="72C2A754" w14:textId="71D81A94" w:rsidR="00E716E4" w:rsidRDefault="00E716E4" w:rsidP="00476C29">
      <w:pPr>
        <w:rPr>
          <w:rFonts w:eastAsiaTheme="minorEastAsia"/>
        </w:rPr>
      </w:pPr>
      <w:r>
        <w:rPr>
          <w:rFonts w:eastAsiaTheme="minorEastAsia"/>
        </w:rPr>
        <w:t xml:space="preserve">Throughout the paper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carries a subscript whose meaning depends on which axis is being iterated:</w:t>
      </w:r>
    </w:p>
    <w:p w14:paraId="04323716" w14:textId="77777777" w:rsidR="00E716E4" w:rsidRDefault="00E716E4" w:rsidP="00476C29">
      <w:pPr>
        <w:rPr>
          <w:rFonts w:eastAsiaTheme="minorEastAsia"/>
        </w:rPr>
      </w:pPr>
    </w:p>
    <w:p w14:paraId="353B5180" w14:textId="6534F1E1" w:rsidR="00E716E4" w:rsidRDefault="00E716E4" w:rsidP="00E716E4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context indexed by </w:t>
      </w:r>
      <w:r w:rsidRPr="00E716E4">
        <w:rPr>
          <w:rFonts w:eastAsiaTheme="minorEastAsia"/>
          <w:i/>
          <w:iCs/>
        </w:rPr>
        <w:t>token position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t∈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. This is the natural index when the model processes a fixed layer step by step through the sequence;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K×d</m:t>
            </m:r>
          </m:sup>
        </m:sSup>
      </m:oMath>
      <w:r>
        <w:rPr>
          <w:rFonts w:eastAsiaTheme="minorEastAsia"/>
        </w:rPr>
        <w:t xml:space="preserve"> is the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-channel context summary accumulated up to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4586E696" w14:textId="4869ADC3" w:rsidR="00E716E4" w:rsidRDefault="00E716E4" w:rsidP="00E716E4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– context</w:t>
      </w:r>
      <w:r>
        <w:rPr>
          <w:rFonts w:eastAsiaTheme="minorEastAsia"/>
        </w:rPr>
        <w:t xml:space="preserve"> indexed by layer depth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1,…,L</m:t>
            </m:r>
          </m:e>
        </m:d>
      </m:oMath>
      <w:r>
        <w:rPr>
          <w:rFonts w:eastAsiaTheme="minorEastAsia"/>
        </w:rPr>
        <w:t xml:space="preserve">. This is the natural index in the non-autonomous decomposition, where each layer has its own parameter block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and its own context slice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drawn from the prefix; together they generate depth-indexed and context-indexed non-autonomy in attention-based transformers.</w:t>
      </w:r>
    </w:p>
    <w:p w14:paraId="2A8E06BB" w14:textId="2B3E2AF8" w:rsidR="00E716E4" w:rsidRPr="00E716E4" w:rsidRDefault="00E716E4" w:rsidP="00E716E4">
      <w:pPr>
        <w:rPr>
          <w:rFonts w:eastAsiaTheme="minorEastAsia"/>
        </w:rPr>
      </w:pPr>
      <w:r>
        <w:rPr>
          <w:rFonts w:eastAsiaTheme="minorEastAsia"/>
        </w:rPr>
        <w:t xml:space="preserve">In both cases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denotes the same conceptual object – “whatever additional information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receives beyond the hidden state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” – and </w:t>
      </w:r>
      <m:oMath>
        <m:r>
          <m:rPr>
            <m:sty m:val="p"/>
          </m:rP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denotes the space from which it is drawn. The subscript signals only which axis is being varied; no new symbol is introduced.</w:t>
      </w:r>
    </w:p>
    <w:p w14:paraId="29B5578F" w14:textId="77777777" w:rsidR="00E716E4" w:rsidRDefault="00E716E4" w:rsidP="00476C29">
      <w:pPr>
        <w:rPr>
          <w:rFonts w:eastAsiaTheme="minorEastAsia"/>
        </w:rPr>
      </w:pPr>
    </w:p>
    <w:p w14:paraId="18628729" w14:textId="77777777" w:rsidR="00200D1F" w:rsidRDefault="00200D1F" w:rsidP="00476C29">
      <w:pPr>
        <w:rPr>
          <w:rFonts w:eastAsiaTheme="minorEastAsia"/>
        </w:rPr>
      </w:pPr>
    </w:p>
    <w:p w14:paraId="73CEC8CA" w14:textId="1640704B" w:rsidR="00E97035" w:rsidRDefault="00E97035" w:rsidP="00E97035">
      <w:pPr>
        <w:pStyle w:val="Heading3"/>
        <w:rPr>
          <w:rFonts w:eastAsiaTheme="minorEastAsia"/>
        </w:rPr>
      </w:pPr>
      <w:bookmarkStart w:id="8" w:name="_Toc230812192"/>
      <w:r>
        <w:rPr>
          <w:rFonts w:eastAsiaTheme="minorEastAsia"/>
        </w:rPr>
        <w:t>Architectural Principles</w:t>
      </w:r>
      <w:bookmarkEnd w:id="8"/>
    </w:p>
    <w:p w14:paraId="1BA5EC2D" w14:textId="77777777" w:rsidR="00E97035" w:rsidRDefault="00E97035" w:rsidP="00476C29">
      <w:pPr>
        <w:rPr>
          <w:rFonts w:eastAsiaTheme="minorEastAsia"/>
        </w:rPr>
      </w:pPr>
    </w:p>
    <w:p w14:paraId="54B24EBF" w14:textId="77D95891" w:rsidR="009A5EAE" w:rsidRDefault="009A5EAE" w:rsidP="00476C29">
      <w:pPr>
        <w:rPr>
          <w:rFonts w:eastAsiaTheme="minorEastAsia"/>
        </w:rPr>
      </w:pPr>
      <w:r w:rsidRPr="001E1BD7">
        <w:rPr>
          <w:rFonts w:eastAsiaTheme="minorEastAsia"/>
          <w:b/>
          <w:bCs/>
        </w:rPr>
        <w:t>Weight sharing across steps</w:t>
      </w:r>
      <w:r w:rsidR="002160D9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hAnsi="Cambria Math"/>
          </w:rPr>
          <m:t xml:space="preserve">, m, </m:t>
        </m:r>
        <m:r>
          <w:rPr>
            <w:rFonts w:ascii="Cambria Math" w:hAnsi="Cambria Math"/>
          </w:rPr>
          <m:t>γ</m:t>
        </m:r>
      </m:oMath>
      <w:r w:rsidR="001E1BD7">
        <w:rPr>
          <w:rFonts w:eastAsiaTheme="minorEastAsia"/>
        </w:rPr>
        <w:t xml:space="preserve"> are the same at every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1,…,L</m:t>
            </m:r>
          </m:e>
        </m:d>
      </m:oMath>
      <w:r w:rsidR="001E1BD7">
        <w:rPr>
          <w:rFonts w:eastAsiaTheme="minorEastAsia"/>
        </w:rPr>
        <w:t xml:space="preserve">. This is what makes the architecture “conservative by construction” – the force law is  a single shared scalar potential, not </w:t>
      </w:r>
      <m:oMath>
        <m:r>
          <w:rPr>
            <w:rFonts w:ascii="Cambria Math" w:eastAsiaTheme="minorEastAsia" w:hAnsi="Cambria Math"/>
          </w:rPr>
          <m:t>L</m:t>
        </m:r>
      </m:oMath>
      <w:r w:rsidR="001E1BD7">
        <w:rPr>
          <w:rFonts w:eastAsiaTheme="minorEastAsia"/>
        </w:rPr>
        <w:t xml:space="preserve"> different networks. </w:t>
      </w:r>
    </w:p>
    <w:p w14:paraId="42F95566" w14:textId="77777777" w:rsidR="009A5EAE" w:rsidRDefault="009A5EAE" w:rsidP="00476C29">
      <w:pPr>
        <w:rPr>
          <w:rFonts w:eastAsiaTheme="minorEastAsia"/>
        </w:rPr>
      </w:pPr>
    </w:p>
    <w:p w14:paraId="35E41AC5" w14:textId="3F3E6B8E" w:rsidR="009A5EAE" w:rsidRDefault="009A5EAE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Asymmetric role of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ξ</m:t>
        </m:r>
      </m:oMath>
      <w:r w:rsidR="002160D9">
        <w:rPr>
          <w:rFonts w:eastAsiaTheme="minorEastAsia"/>
        </w:rPr>
        <w:t xml:space="preserve"> </w:t>
      </w:r>
      <w:r w:rsidR="002160D9" w:rsidRPr="002160D9">
        <w:rPr>
          <w:rFonts w:eastAsiaTheme="minorEastAsia"/>
          <w:b/>
          <w:bCs/>
        </w:rPr>
        <w:t>vs</w:t>
      </w:r>
      <w:r w:rsidR="002160D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.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h</m:t>
            </m:r>
          </m:e>
        </m:d>
      </m:oMath>
      <w:r w:rsidR="002160D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ξ</m:t>
        </m:r>
      </m:oMath>
      <w:r w:rsidR="002160D9">
        <w:rPr>
          <w:rFonts w:eastAsiaTheme="minorEastAsia"/>
        </w:rPr>
        <w:t xml:space="preserve"> is a frozen conditional variable (detached from the graph in the SARF variant) while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 is the differentiation variable. The force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=-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2160D9">
        <w:rPr>
          <w:rFonts w:eastAsiaTheme="minorEastAsia"/>
        </w:rPr>
        <w:t xml:space="preserve"> is taken only w.r.t.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. This makes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 xml:space="preserve">  </m:t>
            </m:r>
            <m:r>
              <w:rPr>
                <w:rFonts w:ascii="Cambria Math" w:eastAsiaTheme="minorEastAsia" w:hAnsi="Cambria Math"/>
              </w:rPr>
              <m:t xml:space="preserve">∙ </m:t>
            </m:r>
          </m:e>
        </m:d>
      </m:oMath>
      <w:r w:rsidR="002160D9">
        <w:rPr>
          <w:rFonts w:eastAsiaTheme="minorEastAsia"/>
        </w:rPr>
        <w:t xml:space="preserve"> a genuine scalar potential in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-space for fixed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2160D9">
        <w:rPr>
          <w:rFonts w:eastAsiaTheme="minorEastAsia"/>
        </w:rPr>
        <w:t>.</w:t>
      </w:r>
    </w:p>
    <w:p w14:paraId="1B419210" w14:textId="77777777" w:rsidR="002160D9" w:rsidRDefault="002160D9" w:rsidP="00476C29">
      <w:pPr>
        <w:rPr>
          <w:rFonts w:eastAsiaTheme="minorEastAsia"/>
        </w:rPr>
      </w:pPr>
    </w:p>
    <w:p w14:paraId="6CB1C6FB" w14:textId="004F7BA3" w:rsidR="002160D9" w:rsidRDefault="002160D9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Causal force fix</w:t>
      </w:r>
      <w:r>
        <w:rPr>
          <w:rFonts w:eastAsiaTheme="minorEastAsia"/>
        </w:rPr>
        <w:t xml:space="preserve"> (</w:t>
      </w:r>
      <w:r w:rsidRPr="002160D9">
        <w:rPr>
          <w:rFonts w:ascii="Consolas" w:eastAsiaTheme="minorEastAsia" w:hAnsi="Consolas" w:cs="Consolas"/>
          <w:sz w:val="17"/>
          <w:szCs w:val="17"/>
        </w:rPr>
        <w:t>causal_force = True</w:t>
      </w:r>
      <w:r>
        <w:rPr>
          <w:rFonts w:eastAsiaTheme="minorEastAsia"/>
        </w:rPr>
        <w:t xml:space="preserve">). In the SARF variant,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is computed from </w:t>
      </w:r>
      <w:r w:rsidRPr="002160D9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to sever the autograd path from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back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eliminating an anti-causal gradient leak where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∂V(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∂h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den>
        </m:f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for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&gt;t</m:t>
        </m:r>
      </m:oMath>
      <w:r>
        <w:rPr>
          <w:rFonts w:eastAsiaTheme="minorEastAsia"/>
        </w:rPr>
        <w:t>.</w:t>
      </w:r>
    </w:p>
    <w:p w14:paraId="2D975416" w14:textId="77777777" w:rsidR="002160D9" w:rsidRDefault="002160D9" w:rsidP="00476C29">
      <w:pPr>
        <w:rPr>
          <w:rFonts w:eastAsiaTheme="minorEastAsia"/>
        </w:rPr>
      </w:pPr>
    </w:p>
    <w:p w14:paraId="147AB6A6" w14:textId="7D76A36B" w:rsidR="00FB7213" w:rsidRDefault="00FB7213" w:rsidP="00476C29">
      <w:pPr>
        <w:rPr>
          <w:rFonts w:eastAsiaTheme="minorEastAsia"/>
        </w:rPr>
      </w:pPr>
      <w:r>
        <w:rPr>
          <w:rStyle w:val="Emphasis"/>
          <w:rFonts w:ascii="Arial" w:hAnsi="Arial" w:cs="Arial"/>
          <w:sz w:val="21"/>
          <w:szCs w:val="21"/>
          <w:shd w:val="clear" w:color="auto" w:fill="181818"/>
        </w:rPr>
        <w:t>ξ as a frozen conditioning variable.</w:t>
      </w:r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 xml:space="preserve"> The conservative force </w:t>
      </w:r>
      <w:proofErr w:type="spellStart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>f_t</w:t>
      </w:r>
      <w:proofErr w:type="spellEnd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 xml:space="preserve"> = −∂</w:t>
      </w:r>
      <w:proofErr w:type="spellStart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>V_θ</w:t>
      </w:r>
      <w:proofErr w:type="spellEnd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>(ξ_t, h_t)/∂h_t is the </w:t>
      </w:r>
      <w:r>
        <w:rPr>
          <w:rStyle w:val="font-semibold"/>
          <w:rFonts w:ascii="Arial" w:hAnsi="Arial" w:cs="Arial"/>
          <w:b/>
          <w:bCs/>
          <w:i/>
          <w:iCs/>
          <w:sz w:val="21"/>
          <w:szCs w:val="21"/>
          <w:shd w:val="clear" w:color="auto" w:fill="181818"/>
        </w:rPr>
        <w:t>partial</w:t>
      </w:r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 xml:space="preserve"> derivative with respect to </w:t>
      </w:r>
      <w:proofErr w:type="spellStart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>h at</w:t>
      </w:r>
      <w:proofErr w:type="spellEnd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 xml:space="preserve"> fixed ξ. This is what makes the force curl-free: </w:t>
      </w:r>
      <w:proofErr w:type="spellStart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>V_θ</w:t>
      </w:r>
      <w:proofErr w:type="spellEnd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 xml:space="preserve">(ξ, ·) is a genuine scalar potential in h-space for each fixed ξ, and the curl of a gradient is zero. ξ conditions the shape of the potential landscape — different tokens see different slices </w:t>
      </w:r>
      <w:proofErr w:type="spellStart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>V_θ</w:t>
      </w:r>
      <w:proofErr w:type="spellEnd"/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>(ξ_t, ·) — but ξ is never differentiated through. In the base model, this is automatic: ξ is computed once from the initial embedding before the integration loop starts. In the SARF variant, ξ is re-pooled at every step from </w:t>
      </w:r>
      <w:r>
        <w:rPr>
          <w:rStyle w:val="HTMLCode"/>
          <w:rFonts w:ascii="Menlo" w:eastAsiaTheme="majorEastAsia" w:hAnsi="Menlo" w:cs="Menlo"/>
          <w:i/>
          <w:iCs/>
          <w:sz w:val="22"/>
          <w:szCs w:val="22"/>
        </w:rPr>
        <w:t>h.detach()</w:t>
      </w:r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>, enforcing the same invariant dynamically. The </w:t>
      </w:r>
      <w:r>
        <w:rPr>
          <w:rStyle w:val="HTMLCode"/>
          <w:rFonts w:ascii="Menlo" w:eastAsiaTheme="majorEastAsia" w:hAnsi="Menlo" w:cs="Menlo"/>
          <w:i/>
          <w:iCs/>
          <w:sz w:val="22"/>
          <w:szCs w:val="22"/>
        </w:rPr>
        <w:t>causal_force=True</w:t>
      </w:r>
      <w:r>
        <w:rPr>
          <w:rFonts w:ascii="Arial" w:hAnsi="Arial" w:cs="Arial"/>
          <w:i/>
          <w:iCs/>
          <w:sz w:val="21"/>
          <w:szCs w:val="21"/>
          <w:shd w:val="clear" w:color="auto" w:fill="181818"/>
        </w:rPr>
        <w:t> config flag is the implementation switch that guarantees this.</w:t>
      </w:r>
    </w:p>
    <w:p w14:paraId="4B40E981" w14:textId="77777777" w:rsidR="00FB7213" w:rsidRDefault="00FB7213" w:rsidP="00476C29">
      <w:pPr>
        <w:rPr>
          <w:rFonts w:eastAsiaTheme="minorEastAsia"/>
        </w:rPr>
      </w:pPr>
    </w:p>
    <w:p w14:paraId="7485B751" w14:textId="3A27203A" w:rsidR="00FB7213" w:rsidRDefault="00FB7213" w:rsidP="00476C29">
      <w:p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ξ</m:t>
        </m:r>
      </m:oMath>
      <w:r w:rsidRPr="00FB7213">
        <w:rPr>
          <w:rFonts w:eastAsiaTheme="minorEastAsia"/>
          <w:b/>
          <w:bCs/>
        </w:rPr>
        <w:t xml:space="preserve"> as a frozen conditioning variable</w:t>
      </w:r>
      <w:r>
        <w:rPr>
          <w:rFonts w:eastAsiaTheme="minorEastAsia"/>
        </w:rPr>
        <w:t xml:space="preserve">. The conservative force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θ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den>
        </m:f>
      </m:oMath>
      <w:r>
        <w:rPr>
          <w:rFonts w:eastAsiaTheme="minorEastAsia"/>
        </w:rPr>
        <w:t xml:space="preserve"> is the partial derivative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at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  <w:r w:rsidR="00DB0ED1">
        <w:rPr>
          <w:rFonts w:eastAsiaTheme="minorEastAsia"/>
        </w:rPr>
        <w:t xml:space="preserve"> This is what makes the force curl-free: </w:t>
      </w:r>
    </w:p>
    <w:p w14:paraId="6B31A803" w14:textId="77777777" w:rsidR="00FB7213" w:rsidRDefault="00FB7213" w:rsidP="00476C29">
      <w:pPr>
        <w:rPr>
          <w:rFonts w:eastAsiaTheme="minorEastAsia"/>
        </w:rPr>
      </w:pPr>
    </w:p>
    <w:p w14:paraId="5631B133" w14:textId="542D444C" w:rsidR="002160D9" w:rsidRDefault="002160D9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Tied embeddings</w:t>
      </w:r>
      <w:r>
        <w:rPr>
          <w:rFonts w:eastAsiaTheme="minorEastAsia"/>
        </w:rPr>
        <w:t xml:space="preserve">. The same matrix </w:t>
      </w:r>
      <m:oMath>
        <m:r>
          <w:rPr>
            <w:rFonts w:ascii="Cambria Math" w:eastAsiaTheme="minorEastAsia" w:hAnsi="Cambria Math"/>
          </w:rPr>
          <m:t>E</m:t>
        </m:r>
      </m:oMath>
      <w:r>
        <w:rPr>
          <w:rFonts w:eastAsiaTheme="minorEastAsia"/>
        </w:rPr>
        <w:t xml:space="preserve"> is used for both input embedding and the output projection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>, reducing parameter count and coupling the input/output representations.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</w:t>
      </w:r>
      <w:r w:rsidR="00CA2FD8">
        <w:rPr>
          <w:rFonts w:eastAsiaTheme="minorEastAsia"/>
        </w:rPr>
        <w:lastRenderedPageBreak/>
        <w:t xml:space="preserve">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9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9" w:name="_Toc230812193"/>
      <w:r w:rsidRPr="00906E37">
        <w:rPr>
          <w:rFonts w:eastAsiaTheme="minorEastAsia"/>
        </w:rPr>
        <w:t>A Note on the oracle fit</w:t>
      </w:r>
      <w:bookmarkEnd w:id="9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10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332962AB" w14:textId="20097A2A" w:rsidR="00093B95" w:rsidRDefault="0011243C" w:rsidP="00093B95">
      <w:r>
        <w:t xml:space="preserve">Two observations from </w:t>
      </w:r>
      <w:r w:rsidRPr="0011243C">
        <w:rPr>
          <w:rFonts w:ascii="Consolas" w:hAnsi="Consolas" w:cs="Consolas"/>
          <w:color w:val="C00000"/>
          <w:sz w:val="17"/>
          <w:szCs w:val="17"/>
        </w:rPr>
        <w:t>extract_oracle_tuples</w:t>
      </w:r>
      <w:r>
        <w:t xml:space="preserve"> (shown in the Appendix):</w:t>
      </w:r>
    </w:p>
    <w:p w14:paraId="733CC050" w14:textId="73D8268C" w:rsidR="0011243C" w:rsidRDefault="00BE6E45" w:rsidP="00093B95">
      <w:r>
        <w:t xml:space="preserve"> The gradient regressor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(</w:t>
      </w:r>
      <w:r w:rsidRPr="00B73D61">
        <w:rPr>
          <w:rFonts w:ascii="Consolas" w:eastAsiaTheme="minorEastAsia" w:hAnsi="Consolas" w:cs="Consolas"/>
          <w:color w:val="C00000"/>
          <w:sz w:val="17"/>
          <w:szCs w:val="17"/>
        </w:rPr>
        <w:t>GV[l]</w:t>
      </w:r>
      <w:r>
        <w:rPr>
          <w:rFonts w:eastAsiaTheme="minorEastAsia"/>
        </w:rPr>
        <w:t xml:space="preserve"> in the code)</w:t>
      </w:r>
    </w:p>
    <w:p w14:paraId="3D904700" w14:textId="77777777" w:rsidR="0011243C" w:rsidRDefault="0011243C" w:rsidP="00093B95"/>
    <w:p w14:paraId="00A12818" w14:textId="77777777" w:rsidR="00093B95" w:rsidRPr="00093B95" w:rsidRDefault="00093B95" w:rsidP="00093B95"/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10" w:name="_Toc23081219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10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11" w:name="_Toc230812195"/>
      <w:r>
        <w:t>References</w:t>
      </w:r>
      <w:bookmarkEnd w:id="11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1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2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3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4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5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6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7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8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9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20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12" w:name="_Toc230812196"/>
      <w:r>
        <w:t>Appendix</w:t>
      </w:r>
      <w:bookmarkEnd w:id="12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13" w:name="_Toc230812197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13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4" w:name="_Toc23081219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4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5" w:name="_Toc23081219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5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lastRenderedPageBreak/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6" w:name="_Toc230812200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6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7" w:name="_Toc230812201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7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8" w:name="_Toc230812202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8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9" w:name="_Toc230812203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9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20" w:name="_Toc230812204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20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21" w:name="_Toc230812205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21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lastRenderedPageBreak/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22" w:name="_Toc230812206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22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23" w:name="_Toc230812207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23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lastRenderedPageBreak/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4" w:name="_Toc230812208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4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5" w:name="_Toc230812209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5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DC1E5" w14:textId="77777777" w:rsidR="00897800" w:rsidRDefault="00897800" w:rsidP="00F6314E">
      <w:pPr>
        <w:spacing w:line="240" w:lineRule="auto"/>
      </w:pPr>
      <w:r>
        <w:separator/>
      </w:r>
    </w:p>
  </w:endnote>
  <w:endnote w:type="continuationSeparator" w:id="0">
    <w:p w14:paraId="55345410" w14:textId="77777777" w:rsidR="00897800" w:rsidRDefault="00897800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8F545" w14:textId="77777777" w:rsidR="00897800" w:rsidRDefault="00897800" w:rsidP="00F6314E">
      <w:pPr>
        <w:spacing w:line="240" w:lineRule="auto"/>
      </w:pPr>
      <w:r>
        <w:separator/>
      </w:r>
    </w:p>
  </w:footnote>
  <w:footnote w:type="continuationSeparator" w:id="0">
    <w:p w14:paraId="1613CCC9" w14:textId="77777777" w:rsidR="00897800" w:rsidRDefault="00897800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787"/>
    <w:multiLevelType w:val="hybridMultilevel"/>
    <w:tmpl w:val="AD145DE4"/>
    <w:lvl w:ilvl="0" w:tplc="C8A88FD6">
      <w:start w:val="1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53F70"/>
    <w:multiLevelType w:val="hybridMultilevel"/>
    <w:tmpl w:val="B4C2F704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B12156"/>
    <w:multiLevelType w:val="hybridMultilevel"/>
    <w:tmpl w:val="774C0E66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6583807">
    <w:abstractNumId w:val="2"/>
  </w:num>
  <w:num w:numId="2" w16cid:durableId="293023387">
    <w:abstractNumId w:val="1"/>
  </w:num>
  <w:num w:numId="3" w16cid:durableId="401827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7001C"/>
    <w:rsid w:val="0008005F"/>
    <w:rsid w:val="00093B95"/>
    <w:rsid w:val="000D398A"/>
    <w:rsid w:val="00100B73"/>
    <w:rsid w:val="0011243C"/>
    <w:rsid w:val="001135C0"/>
    <w:rsid w:val="00121E31"/>
    <w:rsid w:val="00157E17"/>
    <w:rsid w:val="00160BF9"/>
    <w:rsid w:val="00193E45"/>
    <w:rsid w:val="001B4749"/>
    <w:rsid w:val="001D1496"/>
    <w:rsid w:val="001E1BD7"/>
    <w:rsid w:val="001F5C45"/>
    <w:rsid w:val="00200D1F"/>
    <w:rsid w:val="002160D9"/>
    <w:rsid w:val="00222AA8"/>
    <w:rsid w:val="00247A90"/>
    <w:rsid w:val="00265080"/>
    <w:rsid w:val="002724AF"/>
    <w:rsid w:val="002727B8"/>
    <w:rsid w:val="002852B7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19CD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2AA9"/>
    <w:rsid w:val="00593CE8"/>
    <w:rsid w:val="00596E77"/>
    <w:rsid w:val="005D56A9"/>
    <w:rsid w:val="0060180C"/>
    <w:rsid w:val="00602B5E"/>
    <w:rsid w:val="006275EE"/>
    <w:rsid w:val="006471E4"/>
    <w:rsid w:val="0067726C"/>
    <w:rsid w:val="006A3DAD"/>
    <w:rsid w:val="006A765A"/>
    <w:rsid w:val="006B3D2A"/>
    <w:rsid w:val="006D18CC"/>
    <w:rsid w:val="006E1EB9"/>
    <w:rsid w:val="00704225"/>
    <w:rsid w:val="0076273D"/>
    <w:rsid w:val="007736CB"/>
    <w:rsid w:val="00782179"/>
    <w:rsid w:val="007A22E4"/>
    <w:rsid w:val="007A4849"/>
    <w:rsid w:val="007F5543"/>
    <w:rsid w:val="00806F83"/>
    <w:rsid w:val="00807CF6"/>
    <w:rsid w:val="008129E2"/>
    <w:rsid w:val="008447CA"/>
    <w:rsid w:val="008552D3"/>
    <w:rsid w:val="00861505"/>
    <w:rsid w:val="00872B22"/>
    <w:rsid w:val="00872B5C"/>
    <w:rsid w:val="0087762C"/>
    <w:rsid w:val="00890093"/>
    <w:rsid w:val="00897800"/>
    <w:rsid w:val="008A44A3"/>
    <w:rsid w:val="008A4616"/>
    <w:rsid w:val="008B03D4"/>
    <w:rsid w:val="008B1EC0"/>
    <w:rsid w:val="008C1C17"/>
    <w:rsid w:val="008F1490"/>
    <w:rsid w:val="00901A52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5EAE"/>
    <w:rsid w:val="009A73E7"/>
    <w:rsid w:val="009C53B3"/>
    <w:rsid w:val="009E4EFF"/>
    <w:rsid w:val="009F0FB0"/>
    <w:rsid w:val="00A02EC6"/>
    <w:rsid w:val="00A0424A"/>
    <w:rsid w:val="00A157F0"/>
    <w:rsid w:val="00A47478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3D61"/>
    <w:rsid w:val="00B7672E"/>
    <w:rsid w:val="00B90FD5"/>
    <w:rsid w:val="00B953E8"/>
    <w:rsid w:val="00BC297B"/>
    <w:rsid w:val="00BD2283"/>
    <w:rsid w:val="00BD3056"/>
    <w:rsid w:val="00BE6E45"/>
    <w:rsid w:val="00C052A6"/>
    <w:rsid w:val="00C203FC"/>
    <w:rsid w:val="00C572EB"/>
    <w:rsid w:val="00C652B4"/>
    <w:rsid w:val="00C72117"/>
    <w:rsid w:val="00C86FD9"/>
    <w:rsid w:val="00C923FE"/>
    <w:rsid w:val="00C97183"/>
    <w:rsid w:val="00CA2900"/>
    <w:rsid w:val="00CA2FD8"/>
    <w:rsid w:val="00CC256D"/>
    <w:rsid w:val="00CC2EB8"/>
    <w:rsid w:val="00D01904"/>
    <w:rsid w:val="00D15BF8"/>
    <w:rsid w:val="00D510E5"/>
    <w:rsid w:val="00D63637"/>
    <w:rsid w:val="00D853C5"/>
    <w:rsid w:val="00DB0ED1"/>
    <w:rsid w:val="00DB27A8"/>
    <w:rsid w:val="00DF69D6"/>
    <w:rsid w:val="00E035C3"/>
    <w:rsid w:val="00E464D4"/>
    <w:rsid w:val="00E548AF"/>
    <w:rsid w:val="00E716E4"/>
    <w:rsid w:val="00E74940"/>
    <w:rsid w:val="00E75A2A"/>
    <w:rsid w:val="00E875BE"/>
    <w:rsid w:val="00E97035"/>
    <w:rsid w:val="00EA03EC"/>
    <w:rsid w:val="00EC0ADA"/>
    <w:rsid w:val="00EC5662"/>
    <w:rsid w:val="00EC5BB4"/>
    <w:rsid w:val="00F05F79"/>
    <w:rsid w:val="00F54E4E"/>
    <w:rsid w:val="00F6252C"/>
    <w:rsid w:val="00F6314E"/>
    <w:rsid w:val="00FB7213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  <w:style w:type="character" w:styleId="Emphasis">
    <w:name w:val="Emphasis"/>
    <w:basedOn w:val="DefaultParagraphFont"/>
    <w:uiPriority w:val="20"/>
    <w:qFormat/>
    <w:rsid w:val="00FB7213"/>
    <w:rPr>
      <w:i/>
      <w:iCs/>
    </w:rPr>
  </w:style>
  <w:style w:type="character" w:customStyle="1" w:styleId="font-semibold">
    <w:name w:val="font-semibold"/>
    <w:basedOn w:val="DefaultParagraphFont"/>
    <w:rsid w:val="00FB72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huggingface.co/learn/llm-course/en/chapter6/5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paper_tmlr_1" TargetMode="External"/><Relationship Id="rId17" Type="http://schemas.openxmlformats.org/officeDocument/2006/relationships/hyperlink" Target="https://github.com/dimitarpg13/paper_tmlr_1/blob/main/notebooks/conservative_arch/splm_oracle_fit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paper_tmlr_1/blob/main/notebooks/conservative_arch/ln_damping_sweep/train_splm_em_ln.py" TargetMode="External"/><Relationship Id="rId20" Type="http://schemas.openxmlformats.org/officeDocument/2006/relationships/hyperlink" Target="https://transformer-circuits.pub/2021/framework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2036157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mitarpg13/paper_tmlr_1/blob/main/notebooks/conservative_arch/model_sarf_mass.py" TargetMode="External"/><Relationship Id="rId10" Type="http://schemas.openxmlformats.org/officeDocument/2006/relationships/hyperlink" Target="https://github.com/dimitarpg13/paper_tmlr_1/blob/main/notebooks/conservative_arch/splm_oracle_fit.py" TargetMode="External"/><Relationship Id="rId19" Type="http://schemas.openxmlformats.org/officeDocument/2006/relationships/hyperlink" Target="https://arxiv.org/abs/2602.226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aper_tmlr_1/blob/main/notebooks/conservative_arch/model_sarf_mass.py" TargetMode="External"/><Relationship Id="rId14" Type="http://schemas.openxmlformats.org/officeDocument/2006/relationships/hyperlink" Target="https://github.com/dimitarpg13/semsimula-paper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A608C56-3BCC-1F4C-8CC2-36E0E9DFF1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20</Pages>
  <Words>6674</Words>
  <Characters>38044</Characters>
  <Application>Microsoft Office Word</Application>
  <DocSecurity>0</DocSecurity>
  <Lines>317</Lines>
  <Paragraphs>89</Paragraphs>
  <ScaleCrop>false</ScaleCrop>
  <Company/>
  <LinksUpToDate>false</LinksUpToDate>
  <CharactersWithSpaces>44629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cp:lastPrinted>2026-05-28T02:10:00Z</cp:lastPrinted>
  <dcterms:created xsi:type="dcterms:W3CDTF">2026-05-28T14:33:00Z</dcterms:created>
  <dcterms:modified xsi:type="dcterms:W3CDTF">2026-05-28T15:05:00Z</dcterms:modified>
</cp:coreProperties>
</file>