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40C9F956" w14:textId="48F60192" w:rsidR="00C20D32" w:rsidRDefault="00C20D32" w:rsidP="00C20D32">
      <w:pPr>
        <w:pStyle w:val="Heading1"/>
      </w:pPr>
      <w:r>
        <w:t>Potential Wells and the Concept of Temperature</w:t>
      </w:r>
    </w:p>
    <w:p w14:paraId="4385B8D8" w14:textId="77777777" w:rsidR="00C20D32" w:rsidRDefault="00C20D32"/>
    <w:p w14:paraId="653C771B" w14:textId="3F6223DD" w:rsidR="00DF27AB" w:rsidRDefault="00000000">
      <m:oMathPara>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=-τ</m:t>
          </m:r>
          <m:func>
            <m:funcPr>
              <m:ctrlPr>
                <w:rPr>
                  <w:rFonts w:ascii="Cambria Math" w:hAnsi="Cambria Math"/>
                  <w:i/>
                </w:rPr>
              </m:ctrlPr>
            </m:funcPr>
            <m:fName>
              <m:r>
                <m:rPr>
                  <m:sty m:val="p"/>
                </m:rPr>
                <w:rPr>
                  <w:rFonts w:ascii="Cambria Math" w:hAnsi="Cambria Math"/>
                </w:rPr>
                <m:t>log</m:t>
              </m:r>
            </m:fName>
            <m:e>
              <m:nary>
                <m:naryPr>
                  <m:chr m:val="∑"/>
                  <m:limLoc m:val="undOvr"/>
                  <m:supHide m:val="1"/>
                  <m:ctrlPr>
                    <w:rPr>
                      <w:rFonts w:ascii="Cambria Math" w:hAnsi="Cambria Math"/>
                      <w:i/>
                    </w:rPr>
                  </m:ctrlPr>
                </m:naryPr>
                <m:sub>
                  <m:r>
                    <w:rPr>
                      <w:rFonts w:ascii="Cambria Math" w:hAnsi="Cambria Math"/>
                    </w:rPr>
                    <m:t>k</m:t>
                  </m:r>
                </m:sub>
                <m:sup/>
                <m:e/>
              </m:nary>
            </m:e>
          </m:func>
        </m:oMath>
      </m:oMathPara>
    </w:p>
    <w:p w14:paraId="14087944" w14:textId="027F4522" w:rsidR="00C20D32" w:rsidRDefault="00DF27AB">
      <w:r>
        <w:rPr>
          <w:noProof/>
        </w:rPr>
        <w:lastRenderedPageBreak/>
        <w:drawing>
          <wp:inline distT="0" distB="0" distL="0" distR="0" wp14:anchorId="678BD46F" wp14:editId="5EB07693">
            <wp:extent cx="5943600" cy="4693920"/>
            <wp:effectExtent l="0" t="0" r="0" b="5080"/>
            <wp:docPr id="179060877" name="Picture 2"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0877" name="Picture 2" descr="A screenshot of a black and white scree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93920"/>
                    </a:xfrm>
                    <a:prstGeom prst="rect">
                      <a:avLst/>
                    </a:prstGeom>
                  </pic:spPr>
                </pic:pic>
              </a:graphicData>
            </a:graphic>
          </wp:inline>
        </w:drawing>
      </w:r>
    </w:p>
    <w:p w14:paraId="72456BD0" w14:textId="526EBD1C" w:rsidR="00DF27AB" w:rsidRDefault="00DF27AB">
      <w:r>
        <w:rPr>
          <w:noProof/>
        </w:rPr>
        <w:drawing>
          <wp:inline distT="0" distB="0" distL="0" distR="0" wp14:anchorId="7D59BC5A" wp14:editId="221A1BFD">
            <wp:extent cx="5943600" cy="2993390"/>
            <wp:effectExtent l="0" t="0" r="0" b="3810"/>
            <wp:docPr id="633628051"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8051" name="Picture 3" descr="A screenshot of a computer pro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93390"/>
                    </a:xfrm>
                    <a:prstGeom prst="rect">
                      <a:avLst/>
                    </a:prstGeom>
                  </pic:spPr>
                </pic:pic>
              </a:graphicData>
            </a:graphic>
          </wp:inline>
        </w:drawing>
      </w:r>
    </w:p>
    <w:p w14:paraId="4250F289" w14:textId="4A27F0C5" w:rsidR="00C20D32" w:rsidRDefault="00C20D32">
      <w:r>
        <w:rPr>
          <w:noProof/>
        </w:rPr>
        <w:lastRenderedPageBreak/>
        <w:drawing>
          <wp:inline distT="0" distB="0" distL="0" distR="0" wp14:anchorId="794C92ED" wp14:editId="7A72D31E">
            <wp:extent cx="5943600" cy="4389755"/>
            <wp:effectExtent l="0" t="0" r="0" b="4445"/>
            <wp:docPr id="645423015"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23015" name="Picture 1" descr="A screenshot of a black scree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389755"/>
                    </a:xfrm>
                    <a:prstGeom prst="rect">
                      <a:avLst/>
                    </a:prstGeom>
                  </pic:spPr>
                </pic:pic>
              </a:graphicData>
            </a:graphic>
          </wp:inline>
        </w:drawing>
      </w:r>
    </w:p>
    <w:p w14:paraId="3571FAF5" w14:textId="77777777" w:rsidR="00C20D32" w:rsidRDefault="00C20D32"/>
    <w:p w14:paraId="5C5C2BBE" w14:textId="77777777" w:rsidR="00C20D32" w:rsidRDefault="00C20D32"/>
    <w:p w14:paraId="0D2847D1" w14:textId="77777777" w:rsidR="008A7142" w:rsidRDefault="008A7142" w:rsidP="00300BB2">
      <w:pPr>
        <w:pStyle w:val="Heading1"/>
      </w:pPr>
      <w:r>
        <w:t>Quadratic and Gaussian Potential Wells</w:t>
      </w:r>
    </w:p>
    <w:p w14:paraId="00559B8D" w14:textId="77777777" w:rsidR="00C20D32" w:rsidRPr="00300BB2" w:rsidRDefault="00C20D3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E88433" w14:textId="77777777" w:rsidR="00C20D32" w:rsidRDefault="00C20D32"/>
    <w:p w14:paraId="715EC8B7" w14:textId="77777777" w:rsidR="00C20D32" w:rsidRDefault="00C20D32"/>
    <w:p w14:paraId="6F388914" w14:textId="6732ACBF" w:rsidR="002F2BCA" w:rsidRPr="002F2BCA" w:rsidRDefault="002F2BCA">
      <w:pPr>
        <w:rPr>
          <w:color w:val="FF0000"/>
        </w:rPr>
      </w:pPr>
      <w:r w:rsidRPr="002F2BCA">
        <w:rPr>
          <w:color w:val="FF0000"/>
        </w:rPr>
        <w:t>//TODO: finish the introductory paragraph showing the similarity in asymptotic behavior for quadratic and Gaussian wells.</w:t>
      </w:r>
    </w:p>
    <w:p w14:paraId="214FE27F" w14:textId="77777777" w:rsidR="002F2BCA" w:rsidRDefault="002F2BCA"/>
    <w:p w14:paraId="688F112F" w14:textId="679E4BE8" w:rsidR="002F2BCA" w:rsidRDefault="002F2BCA" w:rsidP="002F2BCA">
      <w:pPr>
        <w:pStyle w:val="Heading2"/>
      </w:pPr>
      <w:r>
        <w:t>Quadratic Wells</w:t>
      </w:r>
    </w:p>
    <w:p w14:paraId="4E7614E9" w14:textId="77777777" w:rsidR="002F2BCA" w:rsidRDefault="002F2BCA"/>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Pr="00C20D32" w:rsidRDefault="00000000" w:rsidP="00C20D32">
      <w:pPr>
        <w:pStyle w:val="Heading3"/>
      </w:pPr>
      <w:r w:rsidRPr="00C20D32">
        <w:lastRenderedPageBreak/>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3075EA7A" w14:textId="77777777" w:rsidR="008A10A1" w:rsidRDefault="008A10A1">
      <w:pPr>
        <w:spacing w:after="120"/>
        <w:rPr>
          <w:rFonts w:ascii="Calibri" w:hAnsi="Calibri"/>
        </w:rPr>
      </w:pPr>
    </w:p>
    <w:p w14:paraId="5BD6B9FC" w14:textId="65299566" w:rsidR="008A10A1" w:rsidRDefault="002F2BCA" w:rsidP="002F2BCA">
      <w:pPr>
        <w:pStyle w:val="Heading3"/>
      </w:pPr>
      <w:r>
        <w:t xml:space="preserve">The parameter </w:t>
      </w:r>
      <w:r>
        <w:rPr>
          <w:sz w:val="19"/>
        </w:rPr>
        <w:t>τ</w:t>
      </w:r>
      <w:r w:rsidR="00C20D32">
        <w:rPr>
          <w:sz w:val="19"/>
        </w:rPr>
        <w:t xml:space="preserve"> (temperature)</w:t>
      </w:r>
      <w:r>
        <w:t xml:space="preserve"> in the quadratic well design</w:t>
      </w:r>
    </w:p>
    <w:p w14:paraId="411634FC" w14:textId="77777777" w:rsidR="008A10A1" w:rsidRDefault="008A10A1">
      <w:pPr>
        <w:spacing w:after="120"/>
      </w:pPr>
    </w:p>
    <w:p w14:paraId="264E05CE" w14:textId="77777777" w:rsidR="00455F66" w:rsidRDefault="00000000">
      <w:pPr>
        <w:pStyle w:val="Heading3"/>
        <w:spacing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52BCF6E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9FEC08F" w14:textId="46EADE56"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512E1A53" w14:textId="77777777" w:rsidTr="00EE172C">
        <w:tc>
          <w:tcPr>
            <w:tcW w:w="1435" w:type="dxa"/>
          </w:tcPr>
          <w:p w14:paraId="0DE73447" w14:textId="695C8462" w:rsidR="00455F66" w:rsidRDefault="0060012E">
            <m:oMath>
              <m:r>
                <w:rPr>
                  <w:rFonts w:ascii="Cambria Math" w:hAnsi="Cambria Math"/>
                  <w:sz w:val="17"/>
                </w:rPr>
                <m:t>τ→0</m:t>
              </m:r>
            </m:oMath>
            <w:r>
              <w:rPr>
                <w:rFonts w:eastAsiaTheme="minorEastAsia"/>
                <w:sz w:val="17"/>
              </w:rPr>
              <w:t xml:space="preserve"> </w:t>
            </w:r>
          </w:p>
        </w:tc>
        <w:tc>
          <w:tcPr>
            <w:tcW w:w="7915" w:type="dxa"/>
          </w:tcPr>
          <w:p w14:paraId="79CD39C4" w14:textId="0788AE9C"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7ED67594" w14:textId="77777777" w:rsidTr="00EE172C">
        <w:tc>
          <w:tcPr>
            <w:tcW w:w="1435" w:type="dxa"/>
          </w:tcPr>
          <w:p w14:paraId="70B4C162" w14:textId="7F0C98F7" w:rsidR="00455F66" w:rsidRDefault="0060012E">
            <m:oMath>
              <m:r>
                <w:rPr>
                  <w:rFonts w:ascii="Cambria Math" w:hAnsi="Cambria Math"/>
                  <w:sz w:val="17"/>
                </w:rPr>
                <m:t>τ=1</m:t>
              </m:r>
            </m:oMath>
            <w:r>
              <w:rPr>
                <w:rFonts w:eastAsiaTheme="minorEastAsia"/>
                <w:sz w:val="17"/>
              </w:rPr>
              <w:t xml:space="preserve"> </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03C6A468" w:rsidR="00455F66" w:rsidRDefault="0060012E">
            <m:oMath>
              <m:r>
                <w:rPr>
                  <w:rFonts w:ascii="Cambria Math" w:hAnsi="Cambria Math"/>
                  <w:sz w:val="17"/>
                </w:rPr>
                <m:t>τ→∞</m:t>
              </m:r>
            </m:oMath>
            <w:r>
              <w:rPr>
                <w:rFonts w:eastAsiaTheme="minorEastAsia"/>
                <w:sz w:val="17"/>
              </w:rPr>
              <w:t xml:space="preserve">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15864508"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r w:rsidR="006505AB">
        <w:rPr>
          <w:rFonts w:ascii="Calibri" w:hAnsi="Calibri"/>
        </w:rPr>
        <w:t xml:space="preserve"> [1]</w:t>
      </w:r>
      <w:r>
        <w:rPr>
          <w:rFonts w:ascii="Calibri" w:hAnsi="Calibri"/>
        </w:rPr>
        <w:t>.</w:t>
      </w:r>
    </w:p>
    <w:p w14:paraId="492D1FA8" w14:textId="77777777" w:rsidR="00455F66" w:rsidRDefault="00000000">
      <w:pPr>
        <w:pStyle w:val="Heading3"/>
        <w:spacing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432C22F"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lastRenderedPageBreak/>
              <w:t>Label</w:t>
            </w:r>
          </w:p>
        </w:tc>
        <w:tc>
          <w:tcPr>
            <w:tcW w:w="4680" w:type="dxa"/>
          </w:tcPr>
          <w:p w14:paraId="4A1A29D7" w14:textId="38F75FD1"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w:t>
      </w:r>
      <w:r w:rsidRPr="00210ABE">
        <w:rPr>
          <w:rFonts w:ascii="Consolas" w:hAnsi="Consolas" w:cs="Consolas"/>
          <w:sz w:val="17"/>
          <w:szCs w:val="17"/>
        </w:rPr>
        <w:t>MixtureGaussianVTheta</w:t>
      </w:r>
      <w:r>
        <w:rPr>
          <w:rFonts w:ascii="Calibri" w:hAnsi="Calibri"/>
        </w:rPr>
        <w:t xml:space="preserve"> architecture trained at scale in the </w:t>
      </w:r>
      <w:r w:rsidRPr="00210ABE">
        <w:rPr>
          <w:rFonts w:ascii="Consolas" w:hAnsi="Consolas" w:cs="Consolas"/>
          <w:sz w:val="17"/>
          <w:szCs w:val="17"/>
        </w:rPr>
        <w:t>fock_gaussian_sarf</w:t>
      </w:r>
      <w:r>
        <w:rPr>
          <w:rFonts w:ascii="Calibri" w:hAnsi="Calibri"/>
        </w:rPr>
        <w:t xml:space="preserve"> Phase 5 run.</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6"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7"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8"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20"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32D041A3"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lastRenderedPageBreak/>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lastRenderedPageBreak/>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lastRenderedPageBreak/>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1668B39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09B21810"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22"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lastRenderedPageBreak/>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039191AB"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w:r w:rsidR="00657F7A">
        <w:rPr>
          <w:rFonts w:eastAsiaTheme="minorEastAsia"/>
        </w:rPr>
        <w:t xml:space="preserve"> </w:t>
      </w:r>
    </w:p>
    <w:p w14:paraId="2E5265DC" w14:textId="028DFFC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w:r w:rsidR="00657F7A">
        <w:rPr>
          <w:rFonts w:eastAsiaTheme="minorEastAsia"/>
        </w:rPr>
        <w:t xml:space="preserve"> </w:t>
      </w:r>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w:t>
      </w:r>
      <w:proofErr w:type="gramStart"/>
      <w:r>
        <w:rPr>
          <w:rFonts w:ascii="Calibri" w:hAnsi="Calibri"/>
        </w:rPr>
        <w:t>is</w:t>
      </w:r>
      <w:proofErr w:type="gramEnd"/>
      <w:r>
        <w:rPr>
          <w:rFonts w:ascii="Calibri" w:hAnsi="Calibri"/>
        </w:rPr>
        <w:t xml:space="preserve">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3"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after="120"/>
      </w:pPr>
      <w:r>
        <w:rPr>
          <w:rFonts w:ascii="Calibri" w:hAnsi="Calibri"/>
          <w:sz w:val="19"/>
        </w:rPr>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lastRenderedPageBreak/>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3305F40"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lastRenderedPageBreak/>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089E85C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3D7B313B"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F03AC3D" w14:textId="66F5708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34CAE665"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lastRenderedPageBreak/>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if _has_analytical_grad(self.V_theta):</w:t>
      </w:r>
    </w:p>
    <w:p w14:paraId="5232DA75"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26875896"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[6] (</w:t>
      </w:r>
      <w:hyperlink r:id="rId24" w:history="1">
        <w:r w:rsidRPr="00A812A2">
          <w:rPr>
            <w:rStyle w:val="Hyperlink"/>
            <w:rFonts w:ascii="Consolas" w:hAnsi="Consolas" w:cs="Consolas"/>
            <w:sz w:val="17"/>
            <w:szCs w:val="17"/>
          </w:rPr>
          <w:t>companion_notes/Xi_Bottleneck_Diagnosis_Phase5.md</w:t>
        </w:r>
      </w:hyperlink>
      <w:r w:rsidR="00A812A2">
        <w:rPr>
          <w:rFonts w:ascii="Consolas" w:hAnsi="Consolas" w:cs="Consolas"/>
          <w:sz w:val="17"/>
          <w:szCs w:val="17"/>
        </w:rPr>
        <w:t>)</w:t>
      </w:r>
      <w:r>
        <w:rPr>
          <w:rFonts w:ascii="Calibri" w:hAnsi="Calibri"/>
        </w:rPr>
        <w:t>,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59F97E32" w:rsidR="00455F66" w:rsidRDefault="00AE2901">
            <m:oMath>
              <m:r>
                <w:rPr>
                  <w:rFonts w:ascii="Cambria Math" w:hAnsi="Cambria Math"/>
                  <w:sz w:val="17"/>
                </w:rPr>
                <m:t>V</m:t>
              </m:r>
            </m:oMath>
            <w:r>
              <w:rPr>
                <w:rFonts w:eastAsiaTheme="minorEastAsia"/>
                <w:sz w:val="17"/>
              </w:rPr>
              <w:t xml:space="preserve"> </w:t>
            </w:r>
          </w:p>
        </w:tc>
        <w:tc>
          <w:tcPr>
            <w:tcW w:w="4680" w:type="dxa"/>
          </w:tcPr>
          <w:p w14:paraId="4F0E8480" w14:textId="6BB052A5"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4B1FAA09" w14:textId="77777777">
        <w:tc>
          <w:tcPr>
            <w:tcW w:w="4680" w:type="dxa"/>
          </w:tcPr>
          <w:p w14:paraId="7D44E195" w14:textId="55FE6FBA" w:rsidR="00455F66" w:rsidRDefault="00A812A2">
            <m:oMath>
              <m:r>
                <w:rPr>
                  <w:rFonts w:ascii="Cambria Math" w:hAnsi="Cambria Math"/>
                  <w:sz w:val="17"/>
                </w:rPr>
                <m:t>d</m:t>
              </m:r>
            </m:oMath>
            <w:r>
              <w:rPr>
                <w:rFonts w:eastAsiaTheme="minorEastAsia"/>
                <w:sz w:val="17"/>
              </w:rPr>
              <w:t xml:space="preserve"> </w:t>
            </w:r>
          </w:p>
        </w:tc>
        <w:tc>
          <w:tcPr>
            <w:tcW w:w="4680" w:type="dxa"/>
          </w:tcPr>
          <w:p w14:paraId="568F1B85" w14:textId="31413363" w:rsidR="00455F66" w:rsidRDefault="00000000">
            <w:r>
              <w:rPr>
                <w:rFonts w:ascii="Calibri" w:hAnsi="Calibri"/>
                <w:sz w:val="17"/>
              </w:rPr>
              <w:t xml:space="preserve">hidden dimension (384), </w:t>
            </w:r>
            <m:oMath>
              <m:r>
                <w:rPr>
                  <w:rFonts w:ascii="Cambria Math" w:hAnsi="Cambria Math"/>
                  <w:sz w:val="17"/>
                </w:rPr>
                <m:t>d ≪ V</m:t>
              </m:r>
            </m:oMath>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415C90"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5AC915EA"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after="120"/>
      </w:pPr>
      <w:r>
        <w:rPr>
          <w:rFonts w:ascii="Calibri" w:hAnsi="Calibri"/>
          <w:sz w:val="19"/>
        </w:rPr>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383E08DA"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64E7BED4"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499A148F" w14:textId="5C4524E0"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6505D66B"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acc>
              <m:accPr>
                <m:chr m:val="̃"/>
                <m:ctrlPr>
                  <w:rPr>
                    <w:rFonts w:ascii="Cambria Math" w:hAnsi="Cambria Math"/>
                    <w:i/>
                  </w:rPr>
                </m:ctrlPr>
              </m:accPr>
              <m:e>
                <m:r>
                  <w:rPr>
                    <w:rFonts w:ascii="Cambria Math" w:hAnsi="Cambria Math"/>
                  </w:rPr>
                  <m:t>U</m:t>
                </m:r>
              </m:e>
            </m:acc>
            <m:acc>
              <m:accPr>
                <m:chr m:val="̃"/>
                <m:ctrlPr>
                  <w:rPr>
                    <w:rFonts w:ascii="Cambria Math" w:hAnsi="Cambria Math"/>
                  </w:rPr>
                </m:ctrlPr>
              </m:accPr>
              <m:e>
                <m:box>
                  <m:boxPr>
                    <m:ctrlPr>
                      <w:rPr>
                        <w:rFonts w:ascii="Cambria Math" w:hAnsi="Cambria Math"/>
                      </w:rPr>
                    </m:ctrlPr>
                  </m:boxPr>
                  <m:e>
                    <m:r>
                      <w:rPr>
                        <w:rFonts w:ascii="Cambria Math" w:hAnsi="Cambria Math"/>
                      </w:rPr>
                      <m:t>Σ</m:t>
                    </m:r>
                  </m:e>
                </m:box>
              </m:e>
            </m:acc>
            <m:sSup>
              <m:sSupPr>
                <m:ctrlPr>
                  <w:rPr>
                    <w:rFonts w:ascii="Cambria Math" w:hAnsi="Cambria Math"/>
                  </w:rPr>
                </m:ctrlPr>
              </m:sSupPr>
              <m:e>
                <m:acc>
                  <m:accPr>
                    <m:chr m:val="̃"/>
                    <m:ctrlPr>
                      <w:rPr>
                        <w:rFonts w:ascii="Cambria Math" w:hAnsi="Cambria Math"/>
                        <w:i/>
                      </w:rPr>
                    </m:ctrlPr>
                  </m:accPr>
                  <m:e>
                    <m:r>
                      <w:rPr>
                        <w:rFonts w:ascii="Cambria Math" w:hAnsi="Cambria Math"/>
                      </w:rPr>
                      <m:t>Q</m:t>
                    </m:r>
                  </m:e>
                </m:acc>
              </m:e>
              <m:sup>
                <m:r>
                  <m:rPr>
                    <m:sty m:val="p"/>
                  </m:rPr>
                  <w:rPr>
                    <w:rFonts w:ascii="Cambria Math" w:hAnsi="Cambria Math"/>
                  </w:rPr>
                  <m:t>⊤</m:t>
                </m:r>
              </m:sup>
            </m:sSup>
          </m:e>
        </m:box>
      </m:oMath>
      <w:r>
        <w:rPr>
          <w:rFonts w:ascii="Calibri" w:hAnsi="Calibri"/>
        </w:rPr>
        <w:t>:</w:t>
      </w:r>
    </w:p>
    <w:p w14:paraId="47CCCD09" w14:textId="50F96D5D"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491F602D"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558122D3"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386277AE"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F1291D3"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after="120"/>
      </w:pPr>
      <w:r>
        <w:rPr>
          <w:rFonts w:ascii="Calibri" w:hAnsi="Calibri"/>
          <w:sz w:val="19"/>
        </w:rPr>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lastRenderedPageBreak/>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4954748A"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1E33EE94"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output</m:t>
                </m:r>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sidR="00B40F70">
        <w:rPr>
          <w:rFonts w:eastAsiaTheme="minorEastAsia"/>
        </w:rPr>
        <w:t xml:space="preserve"> </w:t>
      </w:r>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lastRenderedPageBreak/>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1E4EEA" w14:textId="77777777" w:rsidR="00144719" w:rsidRDefault="00144719" w:rsidP="002734A6">
      <w:pPr>
        <w:spacing w:line="240" w:lineRule="auto"/>
      </w:pPr>
      <w:r>
        <w:separator/>
      </w:r>
    </w:p>
  </w:endnote>
  <w:endnote w:type="continuationSeparator" w:id="0">
    <w:p w14:paraId="25CDA5E9" w14:textId="77777777" w:rsidR="00144719" w:rsidRDefault="00144719"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729FF" w14:textId="77777777" w:rsidR="00144719" w:rsidRDefault="00144719" w:rsidP="002734A6">
      <w:pPr>
        <w:spacing w:line="240" w:lineRule="auto"/>
      </w:pPr>
      <w:r>
        <w:separator/>
      </w:r>
    </w:p>
  </w:footnote>
  <w:footnote w:type="continuationSeparator" w:id="0">
    <w:p w14:paraId="37434BBC" w14:textId="77777777" w:rsidR="00144719" w:rsidRDefault="00144719" w:rsidP="002734A6">
      <w:pPr>
        <w:spacing w:line="240" w:lineRule="auto"/>
      </w:pPr>
      <w:r>
        <w:continuationSeparator/>
      </w:r>
    </w:p>
  </w:footnote>
  <w:footnote w:id="1">
    <w:p w14:paraId="16788840" w14:textId="4044DE73"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44719"/>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F2977"/>
    <w:rsid w:val="002F2AB3"/>
    <w:rsid w:val="002F2BCA"/>
    <w:rsid w:val="00300BB2"/>
    <w:rsid w:val="003055CA"/>
    <w:rsid w:val="00313271"/>
    <w:rsid w:val="003218B9"/>
    <w:rsid w:val="00360101"/>
    <w:rsid w:val="00367DA1"/>
    <w:rsid w:val="003A6D4C"/>
    <w:rsid w:val="003B3688"/>
    <w:rsid w:val="003E3CAE"/>
    <w:rsid w:val="003F5E1B"/>
    <w:rsid w:val="003F6B85"/>
    <w:rsid w:val="00415E16"/>
    <w:rsid w:val="00417BBE"/>
    <w:rsid w:val="00436352"/>
    <w:rsid w:val="004418D3"/>
    <w:rsid w:val="00455F66"/>
    <w:rsid w:val="00487152"/>
    <w:rsid w:val="004B6DB0"/>
    <w:rsid w:val="004D6FDF"/>
    <w:rsid w:val="004F4384"/>
    <w:rsid w:val="005015AE"/>
    <w:rsid w:val="00506703"/>
    <w:rsid w:val="005320F1"/>
    <w:rsid w:val="0053777D"/>
    <w:rsid w:val="0058622A"/>
    <w:rsid w:val="005A3A94"/>
    <w:rsid w:val="005B0C7E"/>
    <w:rsid w:val="005B31DF"/>
    <w:rsid w:val="005C1DCE"/>
    <w:rsid w:val="0060012E"/>
    <w:rsid w:val="006009A9"/>
    <w:rsid w:val="00625ABB"/>
    <w:rsid w:val="00635742"/>
    <w:rsid w:val="006463D6"/>
    <w:rsid w:val="006505AB"/>
    <w:rsid w:val="00657F7A"/>
    <w:rsid w:val="006618F7"/>
    <w:rsid w:val="00662B88"/>
    <w:rsid w:val="00673F0F"/>
    <w:rsid w:val="00680536"/>
    <w:rsid w:val="006C1B9A"/>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54E3"/>
    <w:rsid w:val="00863584"/>
    <w:rsid w:val="008665C9"/>
    <w:rsid w:val="00877E09"/>
    <w:rsid w:val="008A10A1"/>
    <w:rsid w:val="008A7142"/>
    <w:rsid w:val="008B7133"/>
    <w:rsid w:val="008E7C28"/>
    <w:rsid w:val="008F5AC6"/>
    <w:rsid w:val="00915108"/>
    <w:rsid w:val="009231F3"/>
    <w:rsid w:val="00930F59"/>
    <w:rsid w:val="00940171"/>
    <w:rsid w:val="00956717"/>
    <w:rsid w:val="00961DEB"/>
    <w:rsid w:val="009648DE"/>
    <w:rsid w:val="00990B46"/>
    <w:rsid w:val="00990BAB"/>
    <w:rsid w:val="009A0FD8"/>
    <w:rsid w:val="009A30D9"/>
    <w:rsid w:val="009B2909"/>
    <w:rsid w:val="009C3A87"/>
    <w:rsid w:val="009C586B"/>
    <w:rsid w:val="009E262D"/>
    <w:rsid w:val="009E4EFF"/>
    <w:rsid w:val="009F2B5D"/>
    <w:rsid w:val="00A02B48"/>
    <w:rsid w:val="00A07B26"/>
    <w:rsid w:val="00A44965"/>
    <w:rsid w:val="00A5148E"/>
    <w:rsid w:val="00A812A2"/>
    <w:rsid w:val="00AB1C88"/>
    <w:rsid w:val="00AB6F7E"/>
    <w:rsid w:val="00AC4A52"/>
    <w:rsid w:val="00AD1621"/>
    <w:rsid w:val="00AD2000"/>
    <w:rsid w:val="00AE2901"/>
    <w:rsid w:val="00AF49E2"/>
    <w:rsid w:val="00B07171"/>
    <w:rsid w:val="00B07FC0"/>
    <w:rsid w:val="00B35608"/>
    <w:rsid w:val="00B40F70"/>
    <w:rsid w:val="00B44DE6"/>
    <w:rsid w:val="00B618DB"/>
    <w:rsid w:val="00B67CEA"/>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6E53"/>
    <w:rsid w:val="00CB35EB"/>
    <w:rsid w:val="00CD07FF"/>
    <w:rsid w:val="00CE085D"/>
    <w:rsid w:val="00CE2406"/>
    <w:rsid w:val="00CF5125"/>
    <w:rsid w:val="00D02CC9"/>
    <w:rsid w:val="00D06DD7"/>
    <w:rsid w:val="00D5238E"/>
    <w:rsid w:val="00D8753C"/>
    <w:rsid w:val="00DB363A"/>
    <w:rsid w:val="00DD2D99"/>
    <w:rsid w:val="00DD511F"/>
    <w:rsid w:val="00DF27AB"/>
    <w:rsid w:val="00E04FD8"/>
    <w:rsid w:val="00E122E4"/>
    <w:rsid w:val="00E2285B"/>
    <w:rsid w:val="00E32F8A"/>
    <w:rsid w:val="00E518F1"/>
    <w:rsid w:val="00E54896"/>
    <w:rsid w:val="00E814D1"/>
    <w:rsid w:val="00E961AB"/>
    <w:rsid w:val="00EA417D"/>
    <w:rsid w:val="00EB1005"/>
    <w:rsid w:val="00EB7C33"/>
    <w:rsid w:val="00EE172C"/>
    <w:rsid w:val="00EE632C"/>
    <w:rsid w:val="00EE6756"/>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Fock-PARFLM_vs_GPT-2_on_OpenWebText_Next_Steps.m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semsimula-paper/blob/main/companion_notes/Training_Instabilities_in_Fock-PARFLM_with_structured_V_theta.md" TargetMode="External"/><Relationship Id="rId20" Type="http://schemas.openxmlformats.org/officeDocument/2006/relationships/hyperlink" Target="https://github.com/dimitarpg13/semsimula-paper/blob/main/companion_notes/Xi_Bottleneck_Diagnosis_Phase5.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companion_notes/Xi_Bottleneck_Diagnosis_Phase5.md"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github.com/dimitarpg13/semsimula-paper/blob/main/notebooks/conservative_arch/parf/model_parf.py" TargetMode="External"/><Relationship Id="rId10" Type="http://schemas.openxmlformats.org/officeDocument/2006/relationships/image" Target="media/image3.png"/><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notebooks/conservative_arch/parf/model_gaussian_vtheta.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18</Pages>
  <Words>6275</Words>
  <Characters>35769</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30</cp:revision>
  <dcterms:created xsi:type="dcterms:W3CDTF">2026-08-02T18:28:00Z</dcterms:created>
  <dcterms:modified xsi:type="dcterms:W3CDTF">2026-08-12T02:49:00Z</dcterms:modified>
</cp:coreProperties>
</file>