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C1ACA" w14:textId="442C834E" w:rsidR="0053777D" w:rsidRDefault="000318EC" w:rsidP="000318EC">
      <w:pPr>
        <w:pStyle w:val="Title"/>
      </w:pPr>
      <w:r>
        <w:t>Pairwise Potentials in PARFLM – Theory</w:t>
      </w:r>
      <w:r w:rsidR="0055788C">
        <w:t xml:space="preserve"> and Design</w:t>
      </w:r>
    </w:p>
    <w:p w14:paraId="1202E798" w14:textId="092162B2" w:rsidR="000318EC" w:rsidRDefault="000318EC">
      <w:r>
        <w:t>Compiled by D. Gueorguiev, 6/21/2026</w:t>
      </w:r>
    </w:p>
    <w:p w14:paraId="37C4B14A" w14:textId="77777777" w:rsidR="0055788C" w:rsidRDefault="0055788C"/>
    <w:p w14:paraId="0CEA92A9" w14:textId="77777777" w:rsidR="0055788C" w:rsidRDefault="0055788C"/>
    <w:p w14:paraId="2C3AB5F9" w14:textId="77777777" w:rsidR="0055788C" w:rsidRDefault="0055788C"/>
    <w:p w14:paraId="0A2CE0F5" w14:textId="77777777" w:rsidR="0055788C" w:rsidRDefault="0055788C"/>
    <w:p w14:paraId="600967F4" w14:textId="77777777" w:rsidR="0055788C" w:rsidRDefault="0055788C"/>
    <w:p w14:paraId="18F0F621" w14:textId="16500153" w:rsidR="0055788C" w:rsidRDefault="0055788C">
      <w:r>
        <w:rPr>
          <w:noProof/>
        </w:rPr>
        <w:drawing>
          <wp:inline distT="0" distB="0" distL="0" distR="0" wp14:anchorId="164F8A39" wp14:editId="5F5493CD">
            <wp:extent cx="5943600" cy="2610485"/>
            <wp:effectExtent l="0" t="0" r="0" b="5715"/>
            <wp:docPr id="189656089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560895" name="Picture 3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C84E9" w14:textId="77777777" w:rsidR="0055788C" w:rsidRDefault="0055788C"/>
    <w:p w14:paraId="05FEC18C" w14:textId="71A3433D" w:rsidR="0055788C" w:rsidRDefault="0055788C" w:rsidP="0055788C">
      <w:pPr>
        <w:pStyle w:val="Heading1"/>
      </w:pPr>
      <w:r>
        <w:t>Why PARF in a language model?</w:t>
      </w:r>
    </w:p>
    <w:p w14:paraId="75AC6400" w14:textId="77777777" w:rsidR="0055788C" w:rsidRDefault="0055788C"/>
    <w:p w14:paraId="228C059C" w14:textId="535BB4A2" w:rsidR="0055788C" w:rsidRDefault="003B435A">
      <w:pPr>
        <w:rPr>
          <w:rFonts w:eastAsiaTheme="minorEastAsia"/>
        </w:rPr>
      </w:pPr>
      <w:r>
        <w:t xml:space="preserve">The Semantic Simulation framework ([1]) develops PARF as the natural generalization of a central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0D4354">
        <w:rPr>
          <w:rFonts w:eastAsiaTheme="minorEastAsia"/>
        </w:rPr>
        <w:t xml:space="preserve"> law to a space where both pairwise direction </w:t>
      </w:r>
      <w:r w:rsidR="000D4354" w:rsidRPr="000D4354">
        <w:rPr>
          <w:rFonts w:eastAsiaTheme="minorEastAsia"/>
          <w:i/>
          <w:iCs/>
        </w:rPr>
        <w:t>and</w:t>
      </w:r>
      <w:r w:rsidR="000D4354">
        <w:rPr>
          <w:rFonts w:eastAsiaTheme="minorEastAsia"/>
        </w:rPr>
        <w:t xml:space="preserve"> pairwise type enter:</w:t>
      </w:r>
    </w:p>
    <w:p w14:paraId="7540F740" w14:textId="77777777" w:rsidR="000D4354" w:rsidRDefault="000D4354">
      <w:pPr>
        <w:rPr>
          <w:rFonts w:eastAsiaTheme="minorEastAsia"/>
        </w:rPr>
      </w:pPr>
    </w:p>
    <w:p w14:paraId="1CC955ED" w14:textId="73D3B853" w:rsidR="000D4354" w:rsidRDefault="008E77B1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=C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Θ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θ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d>
                  </m:sup>
                </m:sSup>
                <m:r>
                  <w:rPr>
                    <w:rFonts w:ascii="Cambria Math" w:eastAsiaTheme="minorEastAsia" w:hAnsi="Cambria Math"/>
                  </w:rPr>
                  <m:t>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θ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d>
                  </m:sup>
                </m:sSup>
              </m:e>
            </m:d>
            <m:r>
              <m:rPr>
                <m:sty m:val="p"/>
              </m:rPr>
              <w:rPr>
                <w:rFonts w:ascii="Cambria Math" w:eastAsiaTheme="minorEastAsia" w:hAnsi="Cambria Math"/>
              </w:rPr>
              <m:t>Φ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</m:d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p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p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num>
          <m:den>
            <m:d>
              <m:dPr>
                <m:begChr m:val="‖"/>
                <m:endChr m:val="‖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</m:d>
          </m:den>
        </m:f>
      </m:oMath>
      <w:r w:rsidR="0099791F">
        <w:rPr>
          <w:rFonts w:eastAsiaTheme="minorEastAsia"/>
        </w:rPr>
        <w:t xml:space="preserve"> </w:t>
      </w:r>
      <w:r w:rsidR="008225DC">
        <w:rPr>
          <w:rFonts w:eastAsiaTheme="minorEastAsia"/>
        </w:rPr>
        <w:t xml:space="preserve">   (parf.1)</w:t>
      </w:r>
    </w:p>
    <w:p w14:paraId="1A111634" w14:textId="77777777" w:rsidR="0099791F" w:rsidRDefault="0099791F">
      <w:pPr>
        <w:rPr>
          <w:rFonts w:eastAsiaTheme="minorEastAsia"/>
        </w:rPr>
      </w:pPr>
    </w:p>
    <w:p w14:paraId="7D52F803" w14:textId="729D4B6F" w:rsidR="0099791F" w:rsidRDefault="008225DC">
      <w:pPr>
        <w:rPr>
          <w:rFonts w:eastAsiaTheme="minorEastAsia"/>
        </w:rPr>
      </w:pPr>
      <w:r>
        <w:rPr>
          <w:rFonts w:eastAsiaTheme="minorEastAsia"/>
        </w:rPr>
        <w:t xml:space="preserve">Here the </w:t>
      </w:r>
      <w:r w:rsidRPr="00B20EC1">
        <w:rPr>
          <w:rFonts w:eastAsiaTheme="minorEastAsia"/>
          <w:i/>
          <w:iCs/>
        </w:rPr>
        <w:t>type</w:t>
      </w:r>
      <w:r>
        <w:rPr>
          <w:rFonts w:eastAsiaTheme="minorEastAsia"/>
        </w:rPr>
        <w:t xml:space="preserve">-matcher </w:t>
      </w:r>
      <m:oMath>
        <m:r>
          <m:rPr>
            <m:sty m:val="p"/>
          </m:rP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-c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</m:e>
        </m:func>
      </m:oMath>
      <w:r>
        <w:rPr>
          <w:rFonts w:eastAsiaTheme="minorEastAsia"/>
        </w:rPr>
        <w:t xml:space="preserve"> is a </w:t>
      </w:r>
      <w:r w:rsidRPr="008225DC">
        <w:rPr>
          <w:rFonts w:eastAsiaTheme="minorEastAsia"/>
          <w:i/>
          <w:iCs/>
        </w:rPr>
        <w:t>gating</w:t>
      </w:r>
      <w:r>
        <w:rPr>
          <w:rFonts w:eastAsiaTheme="minorEastAsia"/>
        </w:rPr>
        <w:t xml:space="preserve"> factor: aspects of incompatible </w:t>
      </w:r>
      <w:r w:rsidR="00B20EC1" w:rsidRPr="00B20EC1">
        <w:rPr>
          <w:rFonts w:eastAsiaTheme="minorEastAsia"/>
          <w:i/>
          <w:iCs/>
        </w:rPr>
        <w:t>type</w:t>
      </w:r>
      <w:r w:rsidR="00B20EC1">
        <w:rPr>
          <w:rFonts w:eastAsiaTheme="minorEastAsia"/>
        </w:rPr>
        <w:t xml:space="preserve"> contribute force exponentially suppressed in their </w:t>
      </w:r>
      <w:r w:rsidR="00B20EC1" w:rsidRPr="00B20EC1">
        <w:rPr>
          <w:rFonts w:eastAsiaTheme="minorEastAsia"/>
          <w:i/>
          <w:iCs/>
        </w:rPr>
        <w:t>type</w:t>
      </w:r>
      <w:r w:rsidR="00B20EC1">
        <w:rPr>
          <w:rFonts w:eastAsiaTheme="minorEastAsia"/>
        </w:rPr>
        <w:t xml:space="preserve">-distance. The </w:t>
      </w:r>
      <m:oMath>
        <m:r>
          <w:rPr>
            <w:rFonts w:ascii="Cambria Math" w:eastAsiaTheme="minorEastAsia" w:hAnsi="Cambria Math"/>
          </w:rPr>
          <m:t>§5.1</m:t>
        </m:r>
      </m:oMath>
      <w:r w:rsidR="00B20EC1">
        <w:rPr>
          <w:rFonts w:eastAsiaTheme="minorEastAsia"/>
        </w:rPr>
        <w:t xml:space="preserve"> Theorem 16 </w:t>
      </w:r>
      <w:r w:rsidR="00032387">
        <w:rPr>
          <w:rFonts w:eastAsiaTheme="minorEastAsia"/>
        </w:rPr>
        <w:t xml:space="preserve">of [1] </w:t>
      </w:r>
      <w:r w:rsidR="00B20EC1">
        <w:rPr>
          <w:rFonts w:eastAsiaTheme="minorEastAsia"/>
        </w:rPr>
        <w:t>makes</w:t>
      </w:r>
      <w:r w:rsidR="00032387">
        <w:rPr>
          <w:rFonts w:eastAsiaTheme="minorEastAsia"/>
        </w:rPr>
        <w:t xml:space="preserve"> this precise – pairs of close type-relatedness given with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&lt;δ</m:t>
        </m:r>
      </m:oMath>
      <w:r w:rsidR="00032387">
        <w:rPr>
          <w:rFonts w:eastAsiaTheme="minorEastAsia"/>
        </w:rPr>
        <w:t xml:space="preserve"> carry essentially all of the interaction; </w:t>
      </w:r>
      <w:r w:rsidR="00E4399A">
        <w:rPr>
          <w:rFonts w:eastAsiaTheme="minorEastAsia"/>
        </w:rPr>
        <w:t xml:space="preserve">the rest contributes negligibly and can be dropped into the dissipation budget. </w:t>
      </w:r>
    </w:p>
    <w:p w14:paraId="7CBF4F9E" w14:textId="77777777" w:rsidR="00F94665" w:rsidRDefault="00F94665">
      <w:pPr>
        <w:rPr>
          <w:rFonts w:eastAsiaTheme="minorEastAsia"/>
          <w:u w:val="single"/>
        </w:rPr>
      </w:pPr>
    </w:p>
    <w:p w14:paraId="37B59298" w14:textId="621FE5CA" w:rsidR="000733B4" w:rsidRDefault="000733B4">
      <w:pPr>
        <w:rPr>
          <w:rFonts w:eastAsiaTheme="minorEastAsia"/>
          <w:u w:val="single"/>
        </w:rPr>
      </w:pPr>
      <w:r w:rsidRPr="00F94665">
        <w:rPr>
          <w:rFonts w:eastAsiaTheme="minorEastAsia"/>
          <w:u w:val="single"/>
        </w:rPr>
        <w:t xml:space="preserve">Note on the dissipative force in </w:t>
      </w:r>
      <w:r w:rsidR="00F94665" w:rsidRPr="00F94665">
        <w:rPr>
          <w:rFonts w:eastAsiaTheme="minorEastAsia"/>
          <w:u w:val="single"/>
        </w:rPr>
        <w:t>PARFLM</w:t>
      </w:r>
    </w:p>
    <w:p w14:paraId="1FAA44D8" w14:textId="77777777" w:rsidR="00F94665" w:rsidRPr="00F94665" w:rsidRDefault="00F94665">
      <w:pPr>
        <w:rPr>
          <w:rFonts w:eastAsiaTheme="minorEastAsia"/>
        </w:rPr>
      </w:pPr>
    </w:p>
    <w:p w14:paraId="1AD15242" w14:textId="5885A099" w:rsidR="00F94665" w:rsidRDefault="00F94665">
      <w:pPr>
        <w:rPr>
          <w:rFonts w:eastAsiaTheme="minorEastAsia"/>
        </w:rPr>
      </w:pPr>
      <w:r>
        <w:rPr>
          <w:rFonts w:eastAsiaTheme="minorEastAsia"/>
        </w:rPr>
        <w:t xml:space="preserve">The SPLM/PARFLM framework is a damped second-order dynamical system. The equation of motion for each token’s hidden state is: </w:t>
      </w:r>
    </w:p>
    <w:p w14:paraId="525FC17D" w14:textId="77777777" w:rsidR="00F94665" w:rsidRDefault="00F94665">
      <w:pPr>
        <w:rPr>
          <w:rFonts w:eastAsiaTheme="minorEastAsia"/>
        </w:rPr>
      </w:pPr>
    </w:p>
    <w:p w14:paraId="01EEE339" w14:textId="691D9FBB" w:rsidR="00F94665" w:rsidRDefault="00F94665">
      <w:pPr>
        <w:rPr>
          <w:rFonts w:eastAsiaTheme="minorEastAsia"/>
        </w:rPr>
      </w:pP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r>
          <w:rPr>
            <w:rFonts w:ascii="Cambria Math" w:eastAsiaTheme="minorEastAsia" w:hAnsi="Cambria Math"/>
          </w:rPr>
          <m:t>+γ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r>
          <w:rPr>
            <w:rFonts w:ascii="Cambria Math" w:eastAsiaTheme="minorEastAsia" w:hAnsi="Cambria Math"/>
          </w:rPr>
          <m:t>V=0</m:t>
        </m:r>
      </m:oMath>
      <w:r>
        <w:rPr>
          <w:rFonts w:eastAsiaTheme="minorEastAsia"/>
        </w:rPr>
        <w:t xml:space="preserve">     (dmp.1)</w:t>
      </w:r>
    </w:p>
    <w:p w14:paraId="61E9D7C0" w14:textId="77777777" w:rsidR="00FC3F38" w:rsidRDefault="00FC3F38">
      <w:pPr>
        <w:rPr>
          <w:rFonts w:eastAsiaTheme="minorEastAsia"/>
        </w:rPr>
      </w:pPr>
    </w:p>
    <w:p w14:paraId="164D6C38" w14:textId="4CC93BAC" w:rsidR="00FC3F38" w:rsidRDefault="00571478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r>
          <w:rPr>
            <w:rFonts w:ascii="Cambria Math" w:eastAsiaTheme="minorEastAsia" w:hAnsi="Cambria Math"/>
          </w:rPr>
          <m:t>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</m:oMath>
      <w:r>
        <w:rPr>
          <w:rFonts w:eastAsiaTheme="minorEastAsia"/>
        </w:rPr>
        <w:t xml:space="preserve"> term is the dissipative (damping) force – it continuously drains kinetic energy from the system, acting like friction. </w:t>
      </w:r>
      <w:r w:rsidR="00B62A43">
        <w:rPr>
          <w:rFonts w:eastAsiaTheme="minorEastAsia"/>
        </w:rPr>
        <w:t xml:space="preserve">The dissipative force makes trajectories converge to semantic attractors. </w:t>
      </w:r>
      <w:r w:rsidR="00376627">
        <w:rPr>
          <w:rFonts w:eastAsiaTheme="minorEastAsia"/>
        </w:rPr>
        <w:t xml:space="preserve">In this regard the omitted forces of not closely related pairs given with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≥</m:t>
        </m:r>
        <m:r>
          <w:rPr>
            <w:rFonts w:ascii="Cambria Math" w:eastAsiaTheme="minorEastAsia" w:hAnsi="Cambria Math"/>
          </w:rPr>
          <m:t>δ</m:t>
        </m:r>
      </m:oMath>
      <w:r w:rsidR="00376627">
        <w:rPr>
          <w:rFonts w:eastAsiaTheme="minorEastAsia"/>
        </w:rPr>
        <w:t xml:space="preserve"> are so small that they compare to (or smaller than) the energy which the damping term removes at each integration step. </w:t>
      </w:r>
    </w:p>
    <w:p w14:paraId="57CFABA3" w14:textId="77777777" w:rsidR="000733B4" w:rsidRDefault="000733B4">
      <w:pPr>
        <w:rPr>
          <w:rFonts w:eastAsiaTheme="minorEastAsia"/>
        </w:rPr>
      </w:pPr>
    </w:p>
    <w:p w14:paraId="5A306495" w14:textId="56CD0981" w:rsidR="000733B4" w:rsidRDefault="000733B4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12F27FB2" wp14:editId="2B9E7E18">
            <wp:extent cx="5943600" cy="3016250"/>
            <wp:effectExtent l="0" t="0" r="0" b="6350"/>
            <wp:docPr id="1326217892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217892" name="Picture 4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49FE" w14:textId="77777777" w:rsidR="00A4121B" w:rsidRDefault="00A4121B">
      <w:pPr>
        <w:rPr>
          <w:rFonts w:eastAsiaTheme="minorEastAsia"/>
        </w:rPr>
      </w:pPr>
    </w:p>
    <w:p w14:paraId="52625195" w14:textId="019C36E3" w:rsidR="00A4121B" w:rsidRDefault="00A4121B" w:rsidP="00A4121B">
      <w:pPr>
        <w:pStyle w:val="Heading1"/>
        <w:rPr>
          <w:rFonts w:eastAsiaTheme="minorEastAsia"/>
        </w:rPr>
      </w:pPr>
      <w:r>
        <w:rPr>
          <w:rFonts w:eastAsiaTheme="minorEastAsia"/>
        </w:rPr>
        <w:t>Design of the Pairwise potentials in Multi-Head PARFLM Architectures</w:t>
      </w:r>
    </w:p>
    <w:p w14:paraId="4D3C4030" w14:textId="77777777" w:rsidR="00A4121B" w:rsidRDefault="00A4121B" w:rsidP="00A4121B"/>
    <w:p w14:paraId="4A5ED6AA" w14:textId="3537FA7F" w:rsidR="00A4121B" w:rsidRPr="00A4121B" w:rsidRDefault="00A4121B" w:rsidP="00A4121B">
      <w:r>
        <w:t xml:space="preserve">The multi-head PARFLM architecture implemented by such models as Fock-PARFLM v2.1 for OpenWebText scaleup uses three distinct NN components wired together as the pairwise potential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ϕ</m:t>
            </m:r>
          </m:sub>
        </m:sSub>
      </m:oMath>
      <w:r>
        <w:rPr>
          <w:rFonts w:eastAsiaTheme="minorEastAsia"/>
        </w:rPr>
        <w:t>.</w:t>
      </w:r>
      <w:r w:rsidR="00897B0B">
        <w:rPr>
          <w:rFonts w:eastAsiaTheme="minorEastAsia"/>
        </w:rPr>
        <w:t xml:space="preserve"> All three components produce scalar </w:t>
      </w:r>
      <w:r w:rsidR="0099791F">
        <w:rPr>
          <w:rFonts w:eastAsiaTheme="minorEastAsia"/>
        </w:rPr>
        <w:t>outputs,</w:t>
      </w:r>
      <w:r w:rsidR="00897B0B">
        <w:rPr>
          <w:rFonts w:eastAsiaTheme="minorEastAsia"/>
        </w:rPr>
        <w:t xml:space="preserve"> so their sum is scalar </w:t>
      </w:r>
      <w:proofErr w:type="gramStart"/>
      <w:r w:rsidR="00897B0B">
        <w:rPr>
          <w:rFonts w:eastAsiaTheme="minorEastAsia"/>
        </w:rPr>
        <w:t>potential</w:t>
      </w:r>
      <w:proofErr w:type="gramEnd"/>
      <w:r w:rsidR="00897B0B">
        <w:rPr>
          <w:rFonts w:eastAsiaTheme="minorEastAsia"/>
        </w:rPr>
        <w:t xml:space="preserve"> and the induced force remains conservative. </w:t>
      </w:r>
    </w:p>
    <w:p w14:paraId="3C2890E2" w14:textId="08C736DD" w:rsidR="0055788C" w:rsidRDefault="0055788C">
      <w:r>
        <w:rPr>
          <w:noProof/>
        </w:rPr>
        <w:lastRenderedPageBreak/>
        <w:drawing>
          <wp:inline distT="0" distB="0" distL="0" distR="0" wp14:anchorId="5D907741" wp14:editId="0DCF2895">
            <wp:extent cx="5943600" cy="5274310"/>
            <wp:effectExtent l="0" t="0" r="0" b="0"/>
            <wp:docPr id="11050865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086590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DFF6E" w14:textId="77777777" w:rsidR="0055788C" w:rsidRDefault="0055788C"/>
    <w:p w14:paraId="5EE5CAC1" w14:textId="7169C789" w:rsidR="001D4198" w:rsidRDefault="00A4121B">
      <w:r>
        <w:rPr>
          <w:noProof/>
        </w:rPr>
        <w:lastRenderedPageBreak/>
        <w:drawing>
          <wp:inline distT="0" distB="0" distL="0" distR="0" wp14:anchorId="0218C185" wp14:editId="005A0650">
            <wp:extent cx="5943600" cy="3822065"/>
            <wp:effectExtent l="0" t="0" r="0" b="635"/>
            <wp:docPr id="99020423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0423" name="Picture 2" descr="A screen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E041" w14:textId="77777777" w:rsidR="001D4198" w:rsidRDefault="001D4198"/>
    <w:p w14:paraId="13BC47D9" w14:textId="77777777" w:rsidR="001D4198" w:rsidRDefault="001D4198"/>
    <w:p w14:paraId="2B288773" w14:textId="7E0E8EBD" w:rsidR="001D4198" w:rsidRDefault="001D4198" w:rsidP="001D4198">
      <w:pPr>
        <w:pStyle w:val="Heading1"/>
      </w:pPr>
      <w:r>
        <w:t>References</w:t>
      </w:r>
    </w:p>
    <w:p w14:paraId="43DCEC69" w14:textId="70E692A1" w:rsidR="001D4198" w:rsidRPr="008314CD" w:rsidRDefault="001D4198">
      <w:r>
        <w:t>[1]</w:t>
      </w:r>
      <w:r w:rsidR="008314CD">
        <w:t xml:space="preserve"> </w:t>
      </w:r>
      <w:hyperlink r:id="rId8" w:history="1">
        <w:r w:rsidR="008314CD" w:rsidRPr="008314CD">
          <w:rPr>
            <w:rStyle w:val="Hyperlink"/>
            <w:rFonts w:eastAsiaTheme="minorEastAsia"/>
          </w:rPr>
          <w:t>Semantic Simulation: A Prescriptive Lagrangian Framework for Efficient Semantic Inference</w:t>
        </w:r>
        <w:r w:rsidR="008314CD" w:rsidRPr="008314CD">
          <w:rPr>
            <w:rStyle w:val="Hyperlink"/>
            <w:rFonts w:eastAsiaTheme="minorEastAsia"/>
          </w:rPr>
          <w:t>, D.Gueorguiev, 2026</w:t>
        </w:r>
      </w:hyperlink>
    </w:p>
    <w:p w14:paraId="79170363" w14:textId="229CB9E1" w:rsidR="001D4198" w:rsidRDefault="001D4198">
      <w:r>
        <w:t>[2]</w:t>
      </w:r>
      <w:r w:rsidR="008314CD">
        <w:t xml:space="preserve"> </w:t>
      </w:r>
      <w:hyperlink r:id="rId9" w:history="1">
        <w:r w:rsidR="008314CD" w:rsidRPr="00866301">
          <w:rPr>
            <w:rStyle w:val="Hyperlink"/>
          </w:rPr>
          <w:t>PARF-Augmented SPLM: A Framework-Native Routing Architecture</w:t>
        </w:r>
      </w:hyperlink>
      <w:r w:rsidR="008314CD">
        <w:t xml:space="preserve">, companion note to </w:t>
      </w:r>
      <w:hyperlink r:id="rId10" w:history="1">
        <w:r w:rsidR="008314CD" w:rsidRPr="00866301">
          <w:rPr>
            <w:rStyle w:val="Hyperlink"/>
          </w:rPr>
          <w:t>[1]</w:t>
        </w:r>
      </w:hyperlink>
    </w:p>
    <w:p w14:paraId="2BA26E25" w14:textId="2BFC6FE8" w:rsidR="001D4198" w:rsidRDefault="001D4198">
      <w:r>
        <w:t>[3]</w:t>
      </w:r>
      <w:r w:rsidR="00866301">
        <w:t xml:space="preserve"> </w:t>
      </w:r>
      <w:hyperlink r:id="rId11" w:history="1">
        <w:r w:rsidR="00866301" w:rsidRPr="007D43CC">
          <w:rPr>
            <w:rStyle w:val="Hyperlink"/>
          </w:rPr>
          <w:t>On the MLP Layer Modeling the Pairwise Potential</w:t>
        </w:r>
      </w:hyperlink>
      <w:r w:rsidR="00866301">
        <w:t xml:space="preserve">, companion note to </w:t>
      </w:r>
      <w:r w:rsidR="00866301">
        <w:t xml:space="preserve"> </w:t>
      </w:r>
      <w:hyperlink r:id="rId12" w:history="1">
        <w:r w:rsidR="00866301" w:rsidRPr="00866301">
          <w:rPr>
            <w:rStyle w:val="Hyperlink"/>
          </w:rPr>
          <w:t>[1]</w:t>
        </w:r>
      </w:hyperlink>
    </w:p>
    <w:p w14:paraId="4CE38274" w14:textId="0E5DEA15" w:rsidR="001D4198" w:rsidRDefault="001D4198">
      <w:r>
        <w:t>[4]</w:t>
      </w:r>
      <w:r w:rsidR="007D43CC">
        <w:t xml:space="preserve"> </w:t>
      </w:r>
    </w:p>
    <w:p w14:paraId="289C6930" w14:textId="4B254F8E" w:rsidR="0055788C" w:rsidRDefault="0055788C"/>
    <w:p w14:paraId="3E1095AF" w14:textId="77777777" w:rsidR="000318EC" w:rsidRDefault="000318EC"/>
    <w:p w14:paraId="6799EA06" w14:textId="77777777" w:rsidR="000318EC" w:rsidRDefault="000318EC"/>
    <w:sectPr w:rsidR="000318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8EC"/>
    <w:rsid w:val="000318EC"/>
    <w:rsid w:val="00032387"/>
    <w:rsid w:val="000733B4"/>
    <w:rsid w:val="000D4354"/>
    <w:rsid w:val="001D4198"/>
    <w:rsid w:val="0028631B"/>
    <w:rsid w:val="00376627"/>
    <w:rsid w:val="003B435A"/>
    <w:rsid w:val="00436352"/>
    <w:rsid w:val="0053777D"/>
    <w:rsid w:val="0055788C"/>
    <w:rsid w:val="00571478"/>
    <w:rsid w:val="0076273D"/>
    <w:rsid w:val="007D43CC"/>
    <w:rsid w:val="008225DC"/>
    <w:rsid w:val="008314CD"/>
    <w:rsid w:val="00866301"/>
    <w:rsid w:val="00897B0B"/>
    <w:rsid w:val="008E77B1"/>
    <w:rsid w:val="0099791F"/>
    <w:rsid w:val="009E4EFF"/>
    <w:rsid w:val="00A4121B"/>
    <w:rsid w:val="00AD2000"/>
    <w:rsid w:val="00B20EC1"/>
    <w:rsid w:val="00B62A43"/>
    <w:rsid w:val="00E4399A"/>
    <w:rsid w:val="00F94665"/>
    <w:rsid w:val="00FC3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401A82"/>
  <w15:chartTrackingRefBased/>
  <w15:docId w15:val="{9C2A6D27-C3C4-AA47-9E57-75CE17357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18E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18E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8E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18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8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8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8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8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8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8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8E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8E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18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8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8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8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8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8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8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8E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8E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8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8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8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8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8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8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8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8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8E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14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14C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D435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19712427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doi.org/10.5281/zenodo.19712427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github.com/dimitarpg13/semsimula-paper/blob/main/companion_notes/On_the_MLP_Layer_modeling_pairwise_potential.md" TargetMode="External"/><Relationship Id="rId5" Type="http://schemas.openxmlformats.org/officeDocument/2006/relationships/image" Target="media/image2.png"/><Relationship Id="rId10" Type="http://schemas.openxmlformats.org/officeDocument/2006/relationships/hyperlink" Target="https://doi.org/10.5281/zenodo.19712427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semsimula-paper/blob/main/companion_notes/PARF_Augmented_SPLM_Architecture_v2.md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</Pages>
  <Words>389</Words>
  <Characters>2219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19</cp:revision>
  <dcterms:created xsi:type="dcterms:W3CDTF">2026-06-21T19:16:00Z</dcterms:created>
  <dcterms:modified xsi:type="dcterms:W3CDTF">2026-06-22T05:03:00Z</dcterms:modified>
</cp:coreProperties>
</file>