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271269C4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</w:t>
      </w:r>
      <m:oMath>
        <m:r>
          <w:rPr>
            <w:rFonts w:ascii="Cambria Math" w:hAnsi="Cambria Math"/>
          </w:rPr>
          <m:t>x</m:t>
        </m:r>
      </m:oMath>
      <w:r>
        <w:t xml:space="preserve"> under distribution </w:t>
      </w:r>
      <m:oMath>
        <m:r>
          <w:rPr>
            <w:rFonts w:ascii="Cambria Math" w:hAnsi="Cambria Math"/>
          </w:rPr>
          <m:t>p</m:t>
        </m:r>
      </m:oMath>
    </w:p>
    <w:p w14:paraId="6ADBCECD" w14:textId="77777777" w:rsidR="009419E2" w:rsidRPr="00360EE7" w:rsidRDefault="009419E2"/>
    <w:p w14:paraId="14B3EC25" w14:textId="4531F355" w:rsidR="00BC397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="006D7A0A">
        <w:rPr>
          <w:rFonts w:eastAsiaTheme="minorEastAsia"/>
        </w:rPr>
        <w:t xml:space="preserve"> </w:t>
      </w:r>
    </w:p>
    <w:p w14:paraId="40037CC7" w14:textId="77777777" w:rsidR="006D7A0A" w:rsidRDefault="006D7A0A">
      <w:pPr>
        <w:rPr>
          <w:rFonts w:eastAsiaTheme="minorEastAsia"/>
        </w:rPr>
      </w:pPr>
    </w:p>
    <w:p w14:paraId="26745845" w14:textId="62B16BAD" w:rsidR="006D7A0A" w:rsidRDefault="006D7A0A">
      <w:pPr>
        <w:rPr>
          <w:rFonts w:eastAsiaTheme="minorEastAsia"/>
        </w:rPr>
      </w:pPr>
      <w:r>
        <w:rPr>
          <w:rFonts w:eastAsiaTheme="minorEastAsia"/>
        </w:rPr>
        <w:t>Three requirements imposed on self-information:</w:t>
      </w:r>
    </w:p>
    <w:p w14:paraId="09513691" w14:textId="77777777" w:rsidR="006D7A0A" w:rsidRDefault="006D7A0A">
      <w:pPr>
        <w:rPr>
          <w:rFonts w:eastAsiaTheme="minorEastAsia"/>
        </w:rPr>
      </w:pPr>
    </w:p>
    <w:p w14:paraId="2050DF73" w14:textId="03C50C63" w:rsidR="006D7A0A" w:rsidRDefault="00CA71F4" w:rsidP="00CA71F4">
      <w:r>
        <w:t xml:space="preserve"> </w:t>
      </w:r>
      <w:r w:rsidRPr="00CA71F4">
        <w:rPr>
          <w:rFonts w:ascii="Times New Roman" w:hAnsi="Times New Roman" w:cs="Times New Roman"/>
          <w:sz w:val="17"/>
          <w:szCs w:val="17"/>
        </w:rPr>
        <w:t>( i )</w:t>
      </w:r>
      <w:r>
        <w:t xml:space="preserve"> self-information should be a decreasing function of probability – rarer events are more “surprising”</w:t>
      </w:r>
    </w:p>
    <w:p w14:paraId="5DF3E3CD" w14:textId="093B886C" w:rsidR="00CA71F4" w:rsidRDefault="00CA71F4" w:rsidP="00CA71F4">
      <w:r w:rsidRPr="00CA71F4">
        <w:rPr>
          <w:rFonts w:ascii="Times New Roman" w:hAnsi="Times New Roman" w:cs="Times New Roman"/>
          <w:sz w:val="17"/>
          <w:szCs w:val="17"/>
        </w:rPr>
        <w:t>( ii )</w:t>
      </w:r>
      <w:r>
        <w:t xml:space="preserve"> self-information should be continuous in </w:t>
      </w:r>
      <m:oMath>
        <m:r>
          <w:rPr>
            <w:rFonts w:ascii="Cambria Math" w:hAnsi="Cambria Math"/>
          </w:rPr>
          <m:t>p</m:t>
        </m:r>
      </m:oMath>
    </w:p>
    <w:p w14:paraId="6E7CCC6B" w14:textId="5F032A8C" w:rsidR="00CA71F4" w:rsidRDefault="00CA71F4" w:rsidP="00CA71F4">
      <w:pPr>
        <w:rPr>
          <w:rFonts w:cs="Times New Roman"/>
          <w:szCs w:val="19"/>
        </w:rPr>
      </w:pPr>
      <w:r w:rsidRPr="00CA71F4">
        <w:rPr>
          <w:rFonts w:ascii="Times New Roman" w:hAnsi="Times New Roman" w:cs="Times New Roman"/>
          <w:sz w:val="17"/>
          <w:szCs w:val="17"/>
        </w:rPr>
        <w:t>( iii )</w:t>
      </w:r>
      <w:r w:rsidRPr="00CA71F4">
        <w:rPr>
          <w:rFonts w:cs="Times New Roman"/>
          <w:szCs w:val="19"/>
        </w:rPr>
        <w:t xml:space="preserve"> for i</w:t>
      </w:r>
      <w:r>
        <w:rPr>
          <w:rFonts w:cs="Times New Roman"/>
          <w:szCs w:val="19"/>
        </w:rPr>
        <w:t xml:space="preserve">ndependent events, information should be additive: </w:t>
      </w:r>
    </w:p>
    <w:p w14:paraId="414DC3DD" w14:textId="6BD10BA4" w:rsidR="00CA71F4" w:rsidRDefault="00CA71F4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hAnsi="Cambria Math" w:cs="Times New Roman"/>
            <w:szCs w:val="19"/>
          </w:rPr>
          <m:t>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x, y</m:t>
            </m:r>
          </m:e>
        </m:d>
        <m:r>
          <w:rPr>
            <w:rFonts w:ascii="Cambria Math" w:hAnsi="Cambria Math" w:cs="Times New Roman"/>
            <w:szCs w:val="19"/>
          </w:rPr>
          <m:t>=I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</m:t>
            </m:r>
          </m:e>
        </m:d>
        <m:r>
          <w:rPr>
            <w:rFonts w:ascii="Cambria Math" w:hAnsi="Cambria Math" w:cs="Times New Roman"/>
            <w:szCs w:val="19"/>
          </w:rPr>
          <m:t>+I(y)</m:t>
        </m:r>
      </m:oMath>
      <w:r>
        <w:rPr>
          <w:rFonts w:eastAsiaTheme="minorEastAsia" w:cs="Times New Roman"/>
          <w:szCs w:val="19"/>
        </w:rPr>
        <w:t xml:space="preserve"> when </w:t>
      </w:r>
      <m:oMath>
        <m:r>
          <w:rPr>
            <w:rFonts w:ascii="Cambria Math" w:eastAsiaTheme="minorEastAsia" w:hAnsi="Cambria Math" w:cs="Times New Roman"/>
            <w:szCs w:val="19"/>
          </w:rPr>
          <m:t>p(x, y) = p(x)p(y)</m:t>
        </m:r>
      </m:oMath>
    </w:p>
    <w:p w14:paraId="38ED2221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389E95B6" w14:textId="07093ED8" w:rsidR="00CA71F4" w:rsidRDefault="00CA71F4" w:rsidP="00CA71F4">
      <w:pPr>
        <w:rPr>
          <w:rFonts w:eastAsiaTheme="minorEastAsia" w:cs="Times New Roman"/>
          <w:szCs w:val="19"/>
        </w:rPr>
      </w:pPr>
      <w:r w:rsidRPr="00CA71F4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CA71F4">
        <w:rPr>
          <w:rFonts w:eastAsiaTheme="minorEastAsia" w:cs="Times New Roman"/>
          <w:i/>
          <w:iCs/>
          <w:szCs w:val="19"/>
        </w:rPr>
        <w:t>Entropy</w:t>
      </w:r>
      <w:r>
        <w:rPr>
          <w:rFonts w:eastAsiaTheme="minorEastAsia" w:cs="Times New Roman"/>
          <w:szCs w:val="19"/>
        </w:rPr>
        <w:t xml:space="preserve"> is the </w:t>
      </w:r>
      <w:r w:rsidRPr="00CA71F4">
        <w:rPr>
          <w:rFonts w:eastAsiaTheme="minorEastAsia" w:cs="Times New Roman"/>
          <w:i/>
          <w:iCs/>
          <w:szCs w:val="19"/>
          <w:u w:val="single"/>
        </w:rPr>
        <w:t>expected</w:t>
      </w:r>
      <w:r>
        <w:rPr>
          <w:rFonts w:eastAsiaTheme="minorEastAsia" w:cs="Times New Roman"/>
          <w:szCs w:val="19"/>
        </w:rPr>
        <w:t xml:space="preserve"> self-information:</w:t>
      </w:r>
    </w:p>
    <w:p w14:paraId="545480C7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66917BD" w14:textId="54E6F682" w:rsidR="008D7601" w:rsidRDefault="008D7601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eastAsiaTheme="minorEastAsia" w:hAnsi="Cambria Math" w:cs="Times New Roman"/>
            <w:szCs w:val="19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X~p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sub>
          <m:sup/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 (ent.1)</w:t>
      </w:r>
    </w:p>
    <w:p w14:paraId="7B21D0AB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7BF69F76" w14:textId="77777777" w:rsidR="00E00B97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Prefix-free code (aka instantaneous code)</w:t>
      </w:r>
    </w:p>
    <w:p w14:paraId="0B579853" w14:textId="4F522D2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A type of uniquely decodable code where no codeword is a prefix of any other codeword in the set.</w:t>
      </w:r>
    </w:p>
    <w:p w14:paraId="26D4FCD2" w14:textId="2A017303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This structural property allows for </w:t>
      </w:r>
      <w:r w:rsidRPr="00E00B97">
        <w:rPr>
          <w:rFonts w:eastAsiaTheme="minorEastAsia" w:cs="Times New Roman"/>
          <w:i/>
          <w:iCs/>
          <w:szCs w:val="19"/>
        </w:rPr>
        <w:t>instantaneous decoding</w:t>
      </w:r>
      <w:r>
        <w:rPr>
          <w:rFonts w:eastAsiaTheme="minorEastAsia" w:cs="Times New Roman"/>
          <w:szCs w:val="19"/>
        </w:rPr>
        <w:t xml:space="preserve"> , meaning a receiver can identify the end of a codeword as soon as the last symbol is received, without needing to look at future symbols in the stream.</w:t>
      </w:r>
    </w:p>
    <w:p w14:paraId="420F865E" w14:textId="77777777" w:rsidR="00E00B97" w:rsidRDefault="00E00B97" w:rsidP="00CA71F4">
      <w:pPr>
        <w:rPr>
          <w:rFonts w:eastAsiaTheme="minorEastAsia" w:cs="Times New Roman"/>
          <w:szCs w:val="19"/>
        </w:rPr>
      </w:pPr>
    </w:p>
    <w:p w14:paraId="3FB3BA2E" w14:textId="732B778E" w:rsidR="00E00B97" w:rsidRPr="00E00B97" w:rsidRDefault="00E00B97" w:rsidP="00CA71F4">
      <w:pPr>
        <w:rPr>
          <w:rFonts w:eastAsiaTheme="minorEastAsia" w:cs="Times New Roman"/>
          <w:b/>
          <w:bCs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Characteristics of Prefix-Free Codes</w:t>
      </w:r>
    </w:p>
    <w:p w14:paraId="5960D9EC" w14:textId="6E8A5C78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lastRenderedPageBreak/>
        <w:t>Self-punctuation</w:t>
      </w:r>
      <w:r>
        <w:rPr>
          <w:rFonts w:eastAsiaTheme="minorEastAsia" w:cs="Times New Roman"/>
          <w:szCs w:val="19"/>
        </w:rPr>
        <w:t xml:space="preserve"> : Because no codeword can be the start of another, the code is “self-punctuating”. The decoder does not require special markers (commas) or look-ahead to distinguish where one symbol ends and the next one starts</w:t>
      </w:r>
    </w:p>
    <w:p w14:paraId="1EE18109" w14:textId="0DC092F9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Uniquely decodable</w:t>
      </w:r>
      <w:r>
        <w:rPr>
          <w:rFonts w:eastAsiaTheme="minorEastAsia" w:cs="Times New Roman"/>
          <w:szCs w:val="19"/>
        </w:rPr>
        <w:t xml:space="preserve"> : Every prefix-free code is by definition uniquely decodable, though not every uniquely decodable code is prefix-free</w:t>
      </w:r>
    </w:p>
    <w:p w14:paraId="4D772AC2" w14:textId="4941CD72" w:rsidR="00E00B97" w:rsidRDefault="00E00B97" w:rsidP="00E00B97">
      <w:pPr>
        <w:pStyle w:val="ListParagraph"/>
        <w:numPr>
          <w:ilvl w:val="0"/>
          <w:numId w:val="2"/>
        </w:numPr>
        <w:rPr>
          <w:rFonts w:eastAsiaTheme="minorEastAsia" w:cs="Times New Roman"/>
          <w:szCs w:val="19"/>
        </w:rPr>
      </w:pPr>
      <w:r>
        <w:rPr>
          <w:rFonts w:eastAsiaTheme="minorEastAsia" w:cs="Times New Roman"/>
          <w:b/>
          <w:bCs/>
          <w:szCs w:val="19"/>
        </w:rPr>
        <w:t>Inequality to be satisfied</w:t>
      </w:r>
      <w:r>
        <w:rPr>
          <w:rFonts w:eastAsiaTheme="minorEastAsia" w:cs="Times New Roman"/>
          <w:szCs w:val="19"/>
        </w:rPr>
        <w:t xml:space="preserve"> : for a prefix-free code to exist with given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it must satisfy the Kraft inequality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where </w:t>
      </w:r>
      <m:oMath>
        <m:r>
          <w:rPr>
            <w:rFonts w:ascii="Cambria Math" w:eastAsiaTheme="minorEastAsia" w:hAnsi="Cambria Math" w:cs="Times New Roman"/>
            <w:szCs w:val="19"/>
          </w:rPr>
          <m:t>D</m:t>
        </m:r>
      </m:oMath>
      <w:r>
        <w:rPr>
          <w:rFonts w:eastAsiaTheme="minorEastAsia" w:cs="Times New Roman"/>
          <w:szCs w:val="19"/>
        </w:rPr>
        <w:t xml:space="preserve"> is the size of the code alphabet (e.g. </w:t>
      </w:r>
      <m:oMath>
        <m:r>
          <w:rPr>
            <w:rFonts w:ascii="Cambria Math" w:eastAsiaTheme="minorEastAsia" w:hAnsi="Cambria Math" w:cs="Times New Roman"/>
            <w:szCs w:val="19"/>
          </w:rPr>
          <m:t>D = 2</m:t>
        </m:r>
      </m:oMath>
      <w:r>
        <w:rPr>
          <w:rFonts w:eastAsiaTheme="minorEastAsia" w:cs="Times New Roman"/>
          <w:szCs w:val="19"/>
        </w:rPr>
        <w:t xml:space="preserve"> for binary)</w:t>
      </w:r>
    </w:p>
    <w:p w14:paraId="31B79C10" w14:textId="77777777" w:rsidR="00E00B97" w:rsidRDefault="00E00B97" w:rsidP="00E00B97">
      <w:pPr>
        <w:ind w:left="360"/>
        <w:rPr>
          <w:rFonts w:eastAsiaTheme="minorEastAsia" w:cs="Times New Roman"/>
          <w:szCs w:val="19"/>
        </w:rPr>
      </w:pPr>
    </w:p>
    <w:p w14:paraId="2B45DB09" w14:textId="36D108CB" w:rsidR="00E00B97" w:rsidRPr="00E00B97" w:rsidRDefault="00E00B97" w:rsidP="00E00B97">
      <w:pPr>
        <w:rPr>
          <w:rFonts w:eastAsiaTheme="minorEastAsia" w:cs="Times New Roman"/>
          <w:b/>
          <w:bCs/>
          <w:szCs w:val="19"/>
        </w:rPr>
      </w:pPr>
      <w:r>
        <w:rPr>
          <w:rFonts w:eastAsiaTheme="minorEastAsia" w:cs="Times New Roman"/>
          <w:b/>
          <w:bCs/>
          <w:szCs w:val="19"/>
        </w:rPr>
        <w:t xml:space="preserve">Positive and Negative </w:t>
      </w:r>
      <w:r w:rsidRPr="00E00B97">
        <w:rPr>
          <w:rFonts w:eastAsiaTheme="minorEastAsia" w:cs="Times New Roman"/>
          <w:b/>
          <w:bCs/>
          <w:szCs w:val="19"/>
        </w:rPr>
        <w:t>Examples of Prefix-Free Codes</w:t>
      </w:r>
    </w:p>
    <w:p w14:paraId="7A4295A3" w14:textId="6D5B04F6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1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b: 01</m:t>
        </m:r>
      </m:oMath>
      <w:r>
        <w:rPr>
          <w:rFonts w:eastAsiaTheme="minorEastAsia" w:cs="Times New Roman"/>
          <w:szCs w:val="19"/>
        </w:rPr>
        <w:t xml:space="preserve">, </w:t>
      </w:r>
      <m:oMath>
        <m:r>
          <w:rPr>
            <w:rFonts w:ascii="Cambria Math" w:eastAsiaTheme="minorEastAsia" w:hAnsi="Cambria Math" w:cs="Times New Roman"/>
            <w:szCs w:val="19"/>
          </w:rPr>
          <m:t>c: 011</m:t>
        </m:r>
      </m:oMath>
      <w:r>
        <w:rPr>
          <w:rFonts w:eastAsiaTheme="minorEastAsia" w:cs="Times New Roman"/>
          <w:szCs w:val="19"/>
        </w:rPr>
        <w:t xml:space="preserve"> – not</w:t>
      </w:r>
      <w:r w:rsidRPr="00E00B97">
        <w:rPr>
          <w:rFonts w:eastAsiaTheme="minorEastAsia" w:cs="Times New Roman"/>
          <w:szCs w:val="19"/>
        </w:rPr>
        <w:t xml:space="preserve"> prefix-free</w:t>
      </w:r>
      <w:r>
        <w:rPr>
          <w:rFonts w:eastAsiaTheme="minorEastAsia" w:cs="Times New Roman"/>
          <w:szCs w:val="19"/>
        </w:rPr>
        <w:t>, a is a prefix of b; the decoder cannot decide if “</w:t>
      </w:r>
      <m:oMath>
        <m:r>
          <w:rPr>
            <w:rFonts w:ascii="Cambria Math" w:eastAsiaTheme="minorEastAsia" w:hAnsi="Cambria Math" w:cs="Times New Roman"/>
            <w:szCs w:val="19"/>
          </w:rPr>
          <m:t>0</m:t>
        </m:r>
      </m:oMath>
      <w:r>
        <w:rPr>
          <w:rFonts w:eastAsiaTheme="minorEastAsia" w:cs="Times New Roman"/>
          <w:szCs w:val="19"/>
        </w:rPr>
        <w:t xml:space="preserve">” is </w:t>
      </w:r>
      <m:oMath>
        <m:r>
          <w:rPr>
            <w:rFonts w:ascii="Cambria Math" w:eastAsiaTheme="minorEastAsia" w:hAnsi="Cambria Math" w:cs="Times New Roman"/>
            <w:szCs w:val="19"/>
          </w:rPr>
          <m:t>a</m:t>
        </m:r>
      </m:oMath>
      <w:r>
        <w:rPr>
          <w:rFonts w:eastAsiaTheme="minorEastAsia" w:cs="Times New Roman"/>
          <w:szCs w:val="19"/>
        </w:rPr>
        <w:t xml:space="preserve"> or the start of </w:t>
      </w:r>
      <m:oMath>
        <m:r>
          <w:rPr>
            <w:rFonts w:ascii="Cambria Math" w:eastAsiaTheme="minorEastAsia" w:hAnsi="Cambria Math" w:cs="Times New Roman"/>
            <w:szCs w:val="19"/>
          </w:rPr>
          <m:t>b</m:t>
        </m:r>
      </m:oMath>
      <w:r>
        <w:rPr>
          <w:rFonts w:eastAsiaTheme="minorEastAsia" w:cs="Times New Roman"/>
          <w:szCs w:val="19"/>
        </w:rPr>
        <w:t xml:space="preserve"> until more bits arrive</w:t>
      </w:r>
    </w:p>
    <w:p w14:paraId="06CEF01C" w14:textId="733F8BCD" w:rsid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2</w:t>
      </w:r>
      <w:r>
        <w:rPr>
          <w:rFonts w:eastAsiaTheme="minorEastAsia" w:cs="Times New Roman"/>
          <w:szCs w:val="19"/>
        </w:rPr>
        <w:t xml:space="preserve">  </w:t>
      </w:r>
      <m:oMath>
        <m:r>
          <w:rPr>
            <w:rFonts w:ascii="Cambria Math" w:eastAsiaTheme="minorEastAsia" w:hAnsi="Cambria Math" w:cs="Times New Roman"/>
            <w:szCs w:val="19"/>
          </w:rPr>
          <m:t>a: 0, b: 10, c: 110</m:t>
        </m:r>
      </m:oMath>
      <w:r>
        <w:rPr>
          <w:rFonts w:eastAsiaTheme="minorEastAsia" w:cs="Times New Roman"/>
          <w:szCs w:val="19"/>
        </w:rPr>
        <w:t xml:space="preserve"> – prefix code as no codeword starts with another</w:t>
      </w:r>
    </w:p>
    <w:p w14:paraId="5CCE38B9" w14:textId="32775A16" w:rsidR="00E00B97" w:rsidRPr="00E00B97" w:rsidRDefault="00E00B97" w:rsidP="00E00B97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Example 3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Fixed-Length</w:t>
      </w:r>
      <w:r>
        <w:rPr>
          <w:rFonts w:eastAsiaTheme="minorEastAsia" w:cs="Times New Roman"/>
          <w:szCs w:val="19"/>
        </w:rPr>
        <w:t xml:space="preserve"> </w:t>
      </w:r>
      <m:oMath>
        <m:r>
          <w:rPr>
            <w:rFonts w:ascii="Cambria Math" w:eastAsiaTheme="minorEastAsia" w:hAnsi="Cambria Math" w:cs="Times New Roman"/>
            <w:szCs w:val="19"/>
          </w:rPr>
          <m:t>a: 00, b: 01, c:10</m:t>
        </m:r>
      </m:oMath>
      <w:r w:rsidR="00657EFB">
        <w:rPr>
          <w:rFonts w:eastAsiaTheme="minorEastAsia" w:cs="Times New Roman"/>
          <w:szCs w:val="19"/>
        </w:rPr>
        <w:t xml:space="preserve"> – all codewords are the same length and are naturally prefix-free</w:t>
      </w:r>
    </w:p>
    <w:p w14:paraId="2969C593" w14:textId="27C7C2EE" w:rsidR="00E00B97" w:rsidRDefault="00E00B97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 </w:t>
      </w:r>
    </w:p>
    <w:p w14:paraId="0950E2A4" w14:textId="3FD10334" w:rsidR="008D7601" w:rsidRDefault="00E00B97" w:rsidP="00CA71F4">
      <w:pPr>
        <w:rPr>
          <w:rFonts w:eastAsiaTheme="minorEastAsia" w:cs="Times New Roman"/>
          <w:szCs w:val="19"/>
        </w:rPr>
      </w:pPr>
      <w:r w:rsidRPr="00E00B97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E00B97">
        <w:rPr>
          <w:rFonts w:eastAsiaTheme="minorEastAsia" w:cs="Times New Roman"/>
          <w:i/>
          <w:iCs/>
          <w:szCs w:val="19"/>
        </w:rPr>
        <w:t>The Kraft inequality</w:t>
      </w:r>
    </w:p>
    <w:p w14:paraId="67A559BB" w14:textId="44455A2C" w:rsidR="00CA71F4" w:rsidRDefault="00BD27B9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For any prefix-free (instantaneously decodable) binary code with codeword lengths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b>
        </m:sSub>
      </m:oMath>
      <w:r>
        <w:rPr>
          <w:rFonts w:eastAsiaTheme="minorEastAsia" w:cs="Times New Roman"/>
          <w:szCs w:val="19"/>
        </w:rPr>
        <w:t xml:space="preserve"> the Kraft’s inequality holds:</w:t>
      </w:r>
    </w:p>
    <w:p w14:paraId="495986AB" w14:textId="77777777" w:rsidR="00BD27B9" w:rsidRDefault="00BD27B9" w:rsidP="00CA71F4">
      <w:pPr>
        <w:rPr>
          <w:rFonts w:eastAsiaTheme="minorEastAsia" w:cs="Times New Roman"/>
          <w:szCs w:val="19"/>
        </w:rPr>
      </w:pPr>
    </w:p>
    <w:p w14:paraId="57E3D3D5" w14:textId="3B9C2283" w:rsidR="00BD27B9" w:rsidRDefault="00D51F14" w:rsidP="00CA71F4">
      <w:pPr>
        <w:rPr>
          <w:rFonts w:eastAsiaTheme="minorEastAsia" w:cs="Times New Roman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i=1</m:t>
            </m:r>
          </m:sub>
          <m:sup>
            <m:r>
              <w:rPr>
                <w:rFonts w:ascii="Cambria Math" w:eastAsiaTheme="minorEastAsia" w:hAnsi="Cambria Math" w:cs="Times New Roman"/>
                <w:szCs w:val="19"/>
              </w:rPr>
              <m:t>K</m:t>
            </m:r>
          </m:sup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i</m:t>
                    </m:r>
                  </m:sub>
                </m:sSub>
              </m:sup>
            </m:sSup>
            <m:r>
              <w:rPr>
                <w:rFonts w:ascii="Cambria Math" w:eastAsiaTheme="minorEastAsia" w:hAnsi="Cambria Math" w:cs="Times New Roman"/>
                <w:szCs w:val="19"/>
              </w:rPr>
              <m:t>≤1</m:t>
            </m:r>
          </m:e>
        </m:nary>
      </m:oMath>
      <w:r>
        <w:rPr>
          <w:rFonts w:eastAsiaTheme="minorEastAsia" w:cs="Times New Roman"/>
          <w:szCs w:val="19"/>
        </w:rPr>
        <w:t xml:space="preserve"> </w:t>
      </w:r>
      <w:r w:rsidR="00C5659B">
        <w:rPr>
          <w:rFonts w:eastAsiaTheme="minorEastAsia" w:cs="Times New Roman"/>
          <w:szCs w:val="19"/>
        </w:rPr>
        <w:t xml:space="preserve"> (krf.1)</w:t>
      </w:r>
    </w:p>
    <w:p w14:paraId="6192B073" w14:textId="77777777" w:rsidR="00D51F14" w:rsidRDefault="00D51F14" w:rsidP="00CA71F4">
      <w:pPr>
        <w:rPr>
          <w:rFonts w:eastAsiaTheme="minorEastAsia" w:cs="Times New Roman"/>
          <w:szCs w:val="19"/>
        </w:rPr>
      </w:pPr>
    </w:p>
    <w:p w14:paraId="5A816024" w14:textId="7D865E4D" w:rsidR="00D51F14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The converse is also true – given any set of integers satisfying (krf.1) a prefix-free code with those lengths exist. </w:t>
      </w:r>
    </w:p>
    <w:p w14:paraId="796B5698" w14:textId="0322D93C" w:rsidR="00C5659B" w:rsidRDefault="00C5659B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Notice that this inequality behaves like a </w:t>
      </w:r>
      <w:r w:rsidRPr="00C5659B">
        <w:rPr>
          <w:rFonts w:eastAsiaTheme="minorEastAsia" w:cs="Times New Roman"/>
          <w:i/>
          <w:iCs/>
          <w:szCs w:val="19"/>
        </w:rPr>
        <w:t>sub-probability distribution</w:t>
      </w:r>
      <w:r>
        <w:rPr>
          <w:rFonts w:eastAsiaTheme="minorEastAsia" w:cs="Times New Roman"/>
          <w:szCs w:val="19"/>
        </w:rPr>
        <w:t xml:space="preserve">.  </w:t>
      </w:r>
      <w:r w:rsidR="00902B4F">
        <w:rPr>
          <w:rFonts w:eastAsiaTheme="minorEastAsia" w:cs="Times New Roman"/>
          <w:szCs w:val="19"/>
        </w:rPr>
        <w:t xml:space="preserve">Setting </w:t>
      </w:r>
      <m:oMath>
        <m:r>
          <m:rPr>
            <m:scr m:val="script"/>
          </m:rPr>
          <w:rPr>
            <w:rFonts w:ascii="Cambria Math" w:eastAsiaTheme="minorEastAsia" w:hAnsi="Cambria Math" w:cs="Times New Roman"/>
            <w:szCs w:val="19"/>
          </w:rPr>
          <m:t>l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=</m:t>
        </m:r>
        <m:d>
          <m:dPr>
            <m:begChr m:val="⌈"/>
            <m:endChr m:val="⌉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szCs w:val="19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Cs w:val="19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2</m:t>
                    </m:r>
                  </m:sub>
                </m:sSub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d>
      </m:oMath>
      <w:r w:rsidR="00902B4F">
        <w:rPr>
          <w:rFonts w:eastAsiaTheme="minorEastAsia" w:cs="Times New Roman"/>
          <w:szCs w:val="19"/>
        </w:rPr>
        <w:t xml:space="preserve"> gives lengths that satisfy Kraft (since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Cs w:val="19"/>
              </w:rPr>
              <m:t>-</m:t>
            </m:r>
            <m:d>
              <m:dPr>
                <m:begChr m:val="⌈"/>
                <m:endChr m:val="⌉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-</m:t>
                </m:r>
                <m:func>
                  <m:func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Cs w:val="19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p(x)</m:t>
                    </m:r>
                  </m:e>
                </m:func>
              </m:e>
            </m:d>
          </m:sup>
        </m:sSup>
        <m:r>
          <w:rPr>
            <w:rFonts w:ascii="Cambria Math" w:eastAsiaTheme="minorEastAsia" w:hAnsi="Cambria Math" w:cs="Times New Roman"/>
            <w:szCs w:val="19"/>
          </w:rPr>
          <m:t>≤p(x)</m:t>
        </m:r>
      </m:oMath>
      <w:r w:rsidR="00902B4F">
        <w:rPr>
          <w:rFonts w:eastAsiaTheme="minorEastAsia" w:cs="Times New Roman"/>
          <w:szCs w:val="19"/>
        </w:rPr>
        <w:t xml:space="preserve"> and these sum to </w:t>
      </w:r>
      <m:oMath>
        <m:r>
          <w:rPr>
            <w:rFonts w:ascii="Cambria Math" w:eastAsiaTheme="minorEastAsia" w:hAnsi="Cambria Math" w:cs="Times New Roman"/>
            <w:szCs w:val="19"/>
          </w:rPr>
          <m:t>≤1</m:t>
        </m:r>
      </m:oMath>
      <w:r w:rsidR="00902B4F">
        <w:rPr>
          <w:rFonts w:eastAsiaTheme="minorEastAsia" w:cs="Times New Roman"/>
          <w:szCs w:val="19"/>
        </w:rPr>
        <w:t xml:space="preserve">), </w:t>
      </w:r>
      <w:r w:rsidR="00EF6564">
        <w:rPr>
          <w:rFonts w:eastAsiaTheme="minorEastAsia" w:cs="Times New Roman"/>
          <w:szCs w:val="19"/>
        </w:rPr>
        <w:t>so code with those lengths exists.</w:t>
      </w:r>
    </w:p>
    <w:p w14:paraId="3F3DD1B7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590FBAFB" w14:textId="031CD00D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b/>
          <w:bCs/>
          <w:szCs w:val="19"/>
        </w:rPr>
        <w:t>Theorem</w:t>
      </w:r>
      <w:r>
        <w:rPr>
          <w:rFonts w:eastAsiaTheme="minorEastAsia" w:cs="Times New Roman"/>
          <w:szCs w:val="19"/>
        </w:rPr>
        <w:t xml:space="preserve"> </w:t>
      </w:r>
      <w:r w:rsidRPr="00EF6564">
        <w:rPr>
          <w:rFonts w:eastAsiaTheme="minorEastAsia" w:cs="Times New Roman"/>
          <w:i/>
          <w:iCs/>
          <w:szCs w:val="19"/>
        </w:rPr>
        <w:t>Shannon’s source coding theorem</w:t>
      </w:r>
    </w:p>
    <w:p w14:paraId="03E68C72" w14:textId="25B9E50E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>For an i.i.d. source with distribution p, any uniquely decodable binary code has expected length</w:t>
      </w:r>
    </w:p>
    <w:p w14:paraId="5B20B6DB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31C12E9" w14:textId="761B98A0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L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≥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</m:oMath>
      <w:r>
        <w:rPr>
          <w:rFonts w:eastAsiaTheme="minorEastAsia" w:cs="Times New Roman"/>
          <w:szCs w:val="19"/>
        </w:rPr>
        <w:t xml:space="preserve">    (sha.1)</w:t>
      </w:r>
    </w:p>
    <w:p w14:paraId="22D8B973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40305392" w14:textId="670E18C2" w:rsidR="00EF6564" w:rsidRDefault="00EF6564" w:rsidP="00CA71F4">
      <w:pPr>
        <w:rPr>
          <w:rFonts w:eastAsiaTheme="minorEastAsia" w:cs="Times New Roman"/>
          <w:szCs w:val="19"/>
        </w:rPr>
      </w:pPr>
      <w:r w:rsidRPr="00EF6564">
        <w:rPr>
          <w:rFonts w:eastAsiaTheme="minorEastAsia" w:cs="Times New Roman"/>
          <w:szCs w:val="19"/>
          <w:u w:val="single"/>
        </w:rPr>
        <w:t>Note</w:t>
      </w:r>
      <w:r>
        <w:rPr>
          <w:rFonts w:eastAsiaTheme="minorEastAsia" w:cs="Times New Roman"/>
          <w:szCs w:val="19"/>
        </w:rPr>
        <w:t>: here subscript 2 denotes the base of the logarithm</w:t>
      </w:r>
    </w:p>
    <w:p w14:paraId="5B20E9E8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0CA049DA" w14:textId="0B7D6087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and there exists a prefix-free code achieving </w:t>
      </w:r>
    </w:p>
    <w:p w14:paraId="0D31C7B6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7AED406A" w14:textId="2ECA070C" w:rsidR="00EF6564" w:rsidRDefault="00EF6564" w:rsidP="00CA71F4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L</m:t>
                </m:r>
              </m:e>
              <m:sup>
                <m:r>
                  <w:rPr>
                    <w:rFonts w:ascii="Cambria Math" w:eastAsiaTheme="minorEastAsia" w:hAnsi="Cambria Math" w:cs="Times New Roman"/>
                    <w:szCs w:val="19"/>
                  </w:rPr>
                  <m:t>*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Cs w:val="19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+1</m:t>
        </m:r>
      </m:oMath>
      <w:r>
        <w:rPr>
          <w:rFonts w:eastAsiaTheme="minorEastAsia" w:cs="Times New Roman"/>
          <w:szCs w:val="19"/>
        </w:rPr>
        <w:t xml:space="preserve"> </w:t>
      </w:r>
      <w:r w:rsidR="00BE489B">
        <w:rPr>
          <w:rFonts w:eastAsiaTheme="minorEastAsia" w:cs="Times New Roman"/>
          <w:szCs w:val="19"/>
        </w:rPr>
        <w:t xml:space="preserve">   (opt.1)</w:t>
      </w:r>
    </w:p>
    <w:p w14:paraId="45A7ED2F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2505479" w14:textId="2D6EF8A1" w:rsidR="00EF6564" w:rsidRDefault="00EF6564" w:rsidP="00CA71F4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Block coding </w:t>
      </w:r>
      <m:oMath>
        <m:r>
          <w:rPr>
            <w:rFonts w:ascii="Cambria Math" w:eastAsiaTheme="minorEastAsia" w:hAnsi="Cambria Math" w:cs="Times New Roman"/>
            <w:szCs w:val="19"/>
          </w:rPr>
          <m:t>n</m:t>
        </m:r>
      </m:oMath>
      <w:r>
        <w:rPr>
          <w:rFonts w:eastAsiaTheme="minorEastAsia" w:cs="Times New Roman"/>
          <w:szCs w:val="19"/>
        </w:rPr>
        <w:t xml:space="preserve"> symbols at a time tightens this to</w:t>
      </w:r>
    </w:p>
    <w:p w14:paraId="13FCE7CA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7052560A" w14:textId="15F39A62" w:rsidR="00BE489B" w:rsidRDefault="00BE489B" w:rsidP="00BE489B">
      <w:pPr>
        <w:rPr>
          <w:rFonts w:eastAsiaTheme="minorEastAsia" w:cs="Times New Roman"/>
          <w:szCs w:val="19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≤</m:t>
        </m:r>
        <m:f>
          <m:f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L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*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den>
        </m:f>
        <m:r>
          <w:rPr>
            <w:rFonts w:ascii="Cambria Math" w:eastAsiaTheme="minorEastAsia" w:hAnsi="Cambria Math" w:cs="Times New Roman"/>
            <w:szCs w:val="19"/>
          </w:rPr>
          <m:t>&lt;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19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19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Cs w:val="19"/>
              </w:rPr>
              <m:t>n</m:t>
            </m:r>
          </m:den>
        </m:f>
      </m:oMath>
      <w:r>
        <w:rPr>
          <w:rFonts w:eastAsiaTheme="minorEastAsia" w:cs="Times New Roman"/>
          <w:szCs w:val="19"/>
        </w:rPr>
        <w:t xml:space="preserve"> </w:t>
      </w:r>
      <w:r>
        <w:rPr>
          <w:rFonts w:eastAsiaTheme="minorEastAsia" w:cs="Times New Roman"/>
          <w:szCs w:val="19"/>
        </w:rPr>
        <w:t xml:space="preserve">     (opt.2)</w:t>
      </w:r>
    </w:p>
    <w:p w14:paraId="00A4C6B1" w14:textId="77777777" w:rsidR="00BE489B" w:rsidRDefault="00BE489B" w:rsidP="00BE489B">
      <w:pPr>
        <w:rPr>
          <w:rFonts w:eastAsiaTheme="minorEastAsia" w:cs="Times New Roman"/>
          <w:szCs w:val="19"/>
        </w:rPr>
      </w:pPr>
    </w:p>
    <w:p w14:paraId="2A5FC6A2" w14:textId="6FDFC30E" w:rsidR="00BE489B" w:rsidRDefault="00BE489B" w:rsidP="00BE489B">
      <w:pPr>
        <w:rPr>
          <w:rFonts w:eastAsiaTheme="minorEastAsia" w:cs="Times New Roman"/>
          <w:szCs w:val="19"/>
        </w:rPr>
      </w:pPr>
      <w:r w:rsidRPr="00BE489B">
        <w:rPr>
          <w:rFonts w:eastAsiaTheme="minorEastAsia" w:cs="Times New Roman"/>
          <w:szCs w:val="19"/>
          <w:u w:val="single"/>
        </w:rPr>
        <w:t>Derivation of</w:t>
      </w:r>
      <w:r>
        <w:rPr>
          <w:rFonts w:eastAsiaTheme="minorEastAsia" w:cs="Times New Roman"/>
          <w:szCs w:val="19"/>
        </w:rPr>
        <w:t xml:space="preserve"> (opt.2)</w:t>
      </w:r>
    </w:p>
    <w:p w14:paraId="30BAFD9E" w14:textId="77777777" w:rsidR="00BE489B" w:rsidRDefault="00BE489B" w:rsidP="00BE489B">
      <w:pPr>
        <w:rPr>
          <w:rFonts w:eastAsiaTheme="minorEastAsia" w:cs="Times New Roman"/>
          <w:szCs w:val="19"/>
        </w:rPr>
      </w:pPr>
    </w:p>
    <w:p w14:paraId="151C6D69" w14:textId="03B73975" w:rsidR="005175E1" w:rsidRDefault="005175E1" w:rsidP="00BE489B">
      <w:pPr>
        <w:rPr>
          <w:rFonts w:eastAsiaTheme="minorEastAsia" w:cs="Times New Roman"/>
          <w:szCs w:val="19"/>
        </w:rPr>
      </w:pPr>
      <w:r>
        <w:rPr>
          <w:rFonts w:eastAsiaTheme="minorEastAsia" w:cs="Times New Roman"/>
          <w:szCs w:val="19"/>
        </w:rPr>
        <w:t xml:space="preserve">Let us consider a block of </w:t>
      </w:r>
      <m:oMath>
        <m:r>
          <w:rPr>
            <w:rFonts w:ascii="Cambria Math" w:eastAsiaTheme="minorEastAsia" w:hAnsi="Cambria Math" w:cs="Times New Roman"/>
            <w:szCs w:val="19"/>
          </w:rPr>
          <m:t>n</m:t>
        </m:r>
      </m:oMath>
      <w:r>
        <w:rPr>
          <w:rFonts w:eastAsiaTheme="minorEastAsia" w:cs="Times New Roman"/>
          <w:szCs w:val="19"/>
        </w:rPr>
        <w:t xml:space="preserve"> symbols and treat it as a single super-symbol</w:t>
      </w:r>
    </w:p>
    <w:p w14:paraId="1EF063BF" w14:textId="77777777" w:rsidR="005175E1" w:rsidRDefault="005175E1" w:rsidP="00BE489B">
      <w:pPr>
        <w:rPr>
          <w:rFonts w:eastAsiaTheme="minorEastAsia" w:cs="Times New Roman"/>
          <w:szCs w:val="19"/>
        </w:rPr>
      </w:pPr>
    </w:p>
    <w:p w14:paraId="3FFD093F" w14:textId="77777777" w:rsidR="005175E1" w:rsidRDefault="005175E1" w:rsidP="00BE489B">
      <w:pPr>
        <w:rPr>
          <w:rFonts w:eastAsiaTheme="minorEastAsia" w:cs="Times New Roman"/>
          <w:szCs w:val="19"/>
        </w:rPr>
      </w:pPr>
    </w:p>
    <w:p w14:paraId="1B4BE562" w14:textId="77777777" w:rsidR="00EF6564" w:rsidRDefault="00EF6564" w:rsidP="00CA71F4">
      <w:pPr>
        <w:rPr>
          <w:rFonts w:eastAsiaTheme="minorEastAsia" w:cs="Times New Roman"/>
          <w:szCs w:val="19"/>
        </w:rPr>
      </w:pPr>
    </w:p>
    <w:p w14:paraId="66297024" w14:textId="77777777" w:rsidR="00CA71F4" w:rsidRPr="00CA71F4" w:rsidRDefault="00CA71F4" w:rsidP="00CA71F4">
      <w:pPr>
        <w:rPr>
          <w:rFonts w:cs="Times New Roman"/>
          <w:szCs w:val="19"/>
        </w:rPr>
      </w:pPr>
    </w:p>
    <w:p w14:paraId="1B15155F" w14:textId="77777777" w:rsidR="00197135" w:rsidRPr="00CA71F4" w:rsidRDefault="00197135">
      <w:pPr>
        <w:rPr>
          <w:szCs w:val="19"/>
        </w:rPr>
      </w:pPr>
    </w:p>
    <w:p w14:paraId="5361DA10" w14:textId="120DAF09" w:rsidR="00BC397F" w:rsidRDefault="00BC397F" w:rsidP="00197135">
      <w:pPr>
        <w:pStyle w:val="Heading1"/>
      </w:pPr>
      <w:r>
        <w:lastRenderedPageBreak/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70964"/>
    <w:multiLevelType w:val="hybridMultilevel"/>
    <w:tmpl w:val="52502708"/>
    <w:lvl w:ilvl="0" w:tplc="9A0662BC">
      <w:start w:val="1"/>
      <w:numFmt w:val="lowerRoman"/>
      <w:lvlText w:val="(%1)"/>
      <w:lvlJc w:val="left"/>
      <w:pPr>
        <w:ind w:left="1080" w:hanging="72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B174D"/>
    <w:multiLevelType w:val="hybridMultilevel"/>
    <w:tmpl w:val="A25A0266"/>
    <w:lvl w:ilvl="0" w:tplc="2BC8F6D2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3793381">
    <w:abstractNumId w:val="0"/>
  </w:num>
  <w:num w:numId="2" w16cid:durableId="147745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175E1"/>
    <w:rsid w:val="0053777D"/>
    <w:rsid w:val="00657EFB"/>
    <w:rsid w:val="0068299D"/>
    <w:rsid w:val="006D7A0A"/>
    <w:rsid w:val="0076273D"/>
    <w:rsid w:val="008A33FA"/>
    <w:rsid w:val="008A3A84"/>
    <w:rsid w:val="008D7601"/>
    <w:rsid w:val="00902B4F"/>
    <w:rsid w:val="009419E2"/>
    <w:rsid w:val="009E4EFF"/>
    <w:rsid w:val="00A32E82"/>
    <w:rsid w:val="00AC3809"/>
    <w:rsid w:val="00AD2000"/>
    <w:rsid w:val="00BA150D"/>
    <w:rsid w:val="00BC397F"/>
    <w:rsid w:val="00BD27B9"/>
    <w:rsid w:val="00BE489B"/>
    <w:rsid w:val="00C5659B"/>
    <w:rsid w:val="00CA71F4"/>
    <w:rsid w:val="00D4257E"/>
    <w:rsid w:val="00D51F14"/>
    <w:rsid w:val="00E00B97"/>
    <w:rsid w:val="00EF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</Pages>
  <Words>638</Words>
  <Characters>3641</Characters>
  <Application>Microsoft Office Word</Application>
  <DocSecurity>0</DocSecurity>
  <Lines>30</Lines>
  <Paragraphs>8</Paragraphs>
  <ScaleCrop>false</ScaleCrop>
  <Company/>
  <LinksUpToDate>false</LinksUpToDate>
  <CharactersWithSpaces>4271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23</cp:revision>
  <dcterms:created xsi:type="dcterms:W3CDTF">2026-05-19T03:58:00Z</dcterms:created>
  <dcterms:modified xsi:type="dcterms:W3CDTF">2026-05-20T02:03:00Z</dcterms:modified>
</cp:coreProperties>
</file>