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9025E8" w14:textId="2B3CE251" w:rsidR="0053777D" w:rsidRDefault="00BF3CE4" w:rsidP="00BF3CE4">
      <w:pPr>
        <w:pStyle w:val="Title"/>
      </w:pPr>
      <w:r>
        <w:t>Statistics Notes</w:t>
      </w:r>
    </w:p>
    <w:p w14:paraId="282D4DBF" w14:textId="71E3E306" w:rsidR="00BF3CE4" w:rsidRDefault="00BF3CE4">
      <w:r>
        <w:t>Compiled by D.Gueorgiev, 4/26/2026</w:t>
      </w:r>
    </w:p>
    <w:p w14:paraId="0696CCF0" w14:textId="77777777" w:rsidR="00BF3CE4" w:rsidRDefault="00BF3CE4"/>
    <w:p w14:paraId="79D43241" w14:textId="59BC666B" w:rsidR="00535A55" w:rsidRDefault="00535A55">
      <w:r w:rsidRPr="009F6FDA">
        <w:rPr>
          <w:b/>
          <w:bCs/>
        </w:rPr>
        <w:t>Definition</w:t>
      </w:r>
      <w:r>
        <w:t xml:space="preserve"> </w:t>
      </w:r>
      <w:r w:rsidRPr="009F6FDA">
        <w:rPr>
          <w:i/>
          <w:iCs/>
        </w:rPr>
        <w:t>Coefficient of determination</w:t>
      </w:r>
    </w:p>
    <w:p w14:paraId="56C6850F" w14:textId="2350B619" w:rsidR="00535A55" w:rsidRDefault="001C7CE9">
      <w:pPr>
        <w:rPr>
          <w:rFonts w:eastAsiaTheme="minorEastAsia"/>
        </w:rPr>
      </w:pP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measures what fraction of the variance in the target variable is explained by the model:</w:t>
      </w:r>
    </w:p>
    <w:p w14:paraId="5EA18AFA" w14:textId="77777777" w:rsidR="001C7CE9" w:rsidRDefault="001C7CE9">
      <w:pPr>
        <w:rPr>
          <w:rFonts w:eastAsiaTheme="minorEastAsia"/>
        </w:rPr>
      </w:pPr>
    </w:p>
    <w:p w14:paraId="004DDB61" w14:textId="624448FC" w:rsidR="001C7CE9" w:rsidRDefault="001C7CE9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=1-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RSS</m:t>
            </m:r>
          </m:num>
          <m:den>
            <m:r>
              <w:rPr>
                <w:rFonts w:ascii="Cambria Math" w:eastAsiaTheme="minorEastAsia" w:hAnsi="Cambria Math"/>
              </w:rPr>
              <m:t>TSS</m:t>
            </m:r>
          </m:den>
        </m:f>
      </m:oMath>
      <w:r>
        <w:rPr>
          <w:rFonts w:eastAsiaTheme="minorEastAsia"/>
        </w:rPr>
        <w:t xml:space="preserve"> </w:t>
      </w:r>
    </w:p>
    <w:p w14:paraId="4C400E38" w14:textId="77777777" w:rsidR="001C7CE9" w:rsidRDefault="001C7CE9">
      <w:pPr>
        <w:rPr>
          <w:rFonts w:eastAsiaTheme="minorEastAsia"/>
        </w:rPr>
      </w:pPr>
    </w:p>
    <w:p w14:paraId="323BF0C9" w14:textId="52FD9C2C" w:rsidR="001C7CE9" w:rsidRDefault="00243FB8">
      <w:pPr>
        <w:rPr>
          <w:rFonts w:eastAsiaTheme="minorEastAsia"/>
        </w:rPr>
      </w:pPr>
      <w:r>
        <w:rPr>
          <w:rFonts w:eastAsiaTheme="minorEastAsia"/>
        </w:rPr>
        <w:t>where:</w:t>
      </w:r>
    </w:p>
    <w:p w14:paraId="1DB574AC" w14:textId="77777777" w:rsidR="00243FB8" w:rsidRDefault="00243FB8">
      <w:pPr>
        <w:rPr>
          <w:rFonts w:eastAsiaTheme="minorEastAsia"/>
        </w:rPr>
      </w:pPr>
    </w:p>
    <w:p w14:paraId="04EFF006" w14:textId="48066711" w:rsidR="00243FB8" w:rsidRDefault="00243FB8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 xml:space="preserve">RSS = </m:t>
        </m:r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t</m:t>
            </m:r>
          </m:sub>
          <m:sup/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begChr m:val="‖"/>
                    <m:endChr m:val="‖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∆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t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-</m:t>
                    </m:r>
                    <m:r>
                      <w:rPr>
                        <w:rFonts w:ascii="Cambria Math" w:eastAsiaTheme="minorEastAsia" w:hAnsi="Cambria Math"/>
                      </w:rPr>
                      <m:t>∆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acc>
                          <m:acc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x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t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e>
        </m:nary>
      </m:oMath>
      <w:r w:rsidR="000C04C1">
        <w:rPr>
          <w:rFonts w:eastAsiaTheme="minorEastAsia"/>
        </w:rPr>
        <w:t xml:space="preserve"> – residual sum of squares , represents the model error</w:t>
      </w:r>
    </w:p>
    <w:p w14:paraId="5731EB44" w14:textId="705CF940" w:rsidR="000C04C1" w:rsidRDefault="000C04C1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TSS =</m:t>
        </m:r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t</m:t>
            </m:r>
          </m:sub>
          <m:sup/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begChr m:val="‖"/>
                    <m:endChr m:val="‖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∆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t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-</m:t>
                    </m:r>
                    <m:r>
                      <w:rPr>
                        <w:rFonts w:ascii="Cambria Math" w:eastAsiaTheme="minorEastAsia" w:hAnsi="Cambria Math"/>
                      </w:rPr>
                      <m:t>∆</m:t>
                    </m:r>
                    <m:acc>
                      <m:accPr>
                        <m:chr m:val="̅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</m:acc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e>
        </m:nary>
      </m:oMath>
      <w:r w:rsidR="00E71689">
        <w:rPr>
          <w:rFonts w:eastAsiaTheme="minorEastAsia"/>
        </w:rPr>
        <w:t xml:space="preserve"> – total sum of squares, represents the total variance</w:t>
      </w:r>
    </w:p>
    <w:p w14:paraId="6D1957EC" w14:textId="77777777" w:rsidR="00E71689" w:rsidRDefault="00E71689">
      <w:pPr>
        <w:rPr>
          <w:rFonts w:eastAsiaTheme="minorEastAsia"/>
        </w:rPr>
      </w:pPr>
    </w:p>
    <w:p w14:paraId="6E131F24" w14:textId="431F3CC5" w:rsidR="00E71689" w:rsidRDefault="00E71689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∆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>
        <w:rPr>
          <w:rFonts w:eastAsiaTheme="minorEastAsia"/>
        </w:rPr>
        <w:t xml:space="preserve"> – observed displacement at token </w:t>
      </w:r>
      <m:oMath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</w:rPr>
        <w:t xml:space="preserve">, layer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</m:oMath>
    </w:p>
    <w:p w14:paraId="0369D876" w14:textId="202F7069" w:rsidR="00E71689" w:rsidRDefault="00E71689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∆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>
        <w:rPr>
          <w:rFonts w:eastAsiaTheme="minorEastAsia"/>
        </w:rPr>
        <w:t xml:space="preserve"> – model’s predicted displacement</w:t>
      </w:r>
    </w:p>
    <w:p w14:paraId="0CB03116" w14:textId="2865A552" w:rsidR="00E71689" w:rsidRDefault="005D257C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∆</m:t>
        </m:r>
        <m:acc>
          <m:accPr>
            <m:chr m:val="̅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x</m:t>
            </m:r>
          </m:e>
        </m:acc>
      </m:oMath>
      <w:r>
        <w:rPr>
          <w:rFonts w:eastAsiaTheme="minorEastAsia"/>
        </w:rPr>
        <w:t xml:space="preserve"> – mean displacement across all tokens and layers</w:t>
      </w:r>
    </w:p>
    <w:p w14:paraId="620CD02D" w14:textId="77777777" w:rsidR="00CF2E0F" w:rsidRDefault="00CF2E0F">
      <w:pPr>
        <w:rPr>
          <w:rFonts w:eastAsiaTheme="minorEastAsia"/>
        </w:rPr>
      </w:pPr>
    </w:p>
    <w:p w14:paraId="7E4729BD" w14:textId="50A0F111" w:rsidR="00CF2E0F" w:rsidRPr="00CF2E0F" w:rsidRDefault="00CF2E0F">
      <w:pPr>
        <w:rPr>
          <w:rFonts w:eastAsiaTheme="minorEastAsia"/>
          <w:b/>
          <w:bCs/>
        </w:rPr>
      </w:pPr>
      <w:r w:rsidRPr="00CF2E0F">
        <w:rPr>
          <w:rFonts w:eastAsiaTheme="minorEastAsia"/>
          <w:b/>
          <w:bCs/>
        </w:rPr>
        <w:t>Variance in the context of per-step hidden state displacement</w:t>
      </w:r>
    </w:p>
    <w:p w14:paraId="27F9D34A" w14:textId="606D3E85" w:rsidR="00CF2E0F" w:rsidRDefault="00CF2E0F">
      <w:pPr>
        <w:rPr>
          <w:rFonts w:eastAsiaTheme="minorEastAsia"/>
        </w:rPr>
      </w:pPr>
      <w:r>
        <w:rPr>
          <w:rFonts w:eastAsiaTheme="minorEastAsia"/>
        </w:rPr>
        <w:t xml:space="preserve">The target variable is the </w:t>
      </w:r>
      <w:r w:rsidRPr="00CF2E0F">
        <w:rPr>
          <w:rFonts w:eastAsiaTheme="minorEastAsia"/>
          <w:i/>
          <w:iCs/>
        </w:rPr>
        <w:t>per-step hidden state displacement</w:t>
      </w:r>
    </w:p>
    <w:p w14:paraId="71821617" w14:textId="77777777" w:rsidR="00CF2E0F" w:rsidRDefault="00CF2E0F">
      <w:pPr>
        <w:rPr>
          <w:rFonts w:eastAsiaTheme="minorEastAsia"/>
        </w:rPr>
      </w:pPr>
    </w:p>
    <w:p w14:paraId="7408D140" w14:textId="21952390" w:rsidR="00CF2E0F" w:rsidRDefault="00CF2E0F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∆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  <m:r>
              <w:rPr>
                <w:rFonts w:ascii="Cambria Math" w:eastAsiaTheme="minorEastAsia" w:hAnsi="Cambria Math"/>
              </w:rPr>
              <m:t>+1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</w:t>
      </w:r>
    </w:p>
    <w:p w14:paraId="0B99AD2C" w14:textId="77777777" w:rsidR="00CF2E0F" w:rsidRDefault="00CF2E0F">
      <w:pPr>
        <w:rPr>
          <w:rFonts w:eastAsiaTheme="minorEastAsia"/>
        </w:rPr>
      </w:pPr>
    </w:p>
    <w:p w14:paraId="412648DB" w14:textId="7107D566" w:rsidR="00CF2E0F" w:rsidRDefault="00CF2E0F">
      <w:pPr>
        <w:rPr>
          <w:rFonts w:eastAsiaTheme="minorEastAsia"/>
        </w:rPr>
      </w:pPr>
      <w:r>
        <w:rPr>
          <w:rFonts w:eastAsiaTheme="minorEastAsia"/>
        </w:rPr>
        <w:t xml:space="preserve">where </w:t>
      </w:r>
      <m:oMath>
        <m:r>
          <w:rPr>
            <w:rFonts w:ascii="Cambria Math" w:eastAsiaTheme="minorEastAsia" w:hAnsi="Cambria Math"/>
          </w:rPr>
          <m:t>d = 128</m:t>
        </m:r>
      </m:oMath>
      <w:r>
        <w:rPr>
          <w:rFonts w:eastAsiaTheme="minorEastAsia"/>
        </w:rPr>
        <w:t xml:space="preserve"> for SPLM and </w:t>
      </w:r>
      <m:oMath>
        <m:r>
          <w:rPr>
            <w:rFonts w:ascii="Cambria Math" w:eastAsiaTheme="minorEastAsia" w:hAnsi="Cambria Math"/>
          </w:rPr>
          <m:t>d = 768</m:t>
        </m:r>
      </m:oMath>
      <w:r>
        <w:rPr>
          <w:rFonts w:eastAsiaTheme="minorEastAsia"/>
        </w:rPr>
        <w:t xml:space="preserve"> for GPT-2.</w:t>
      </w:r>
    </w:p>
    <w:p w14:paraId="7A18C529" w14:textId="77777777" w:rsidR="001C7CE9" w:rsidRDefault="001C7CE9"/>
    <w:p w14:paraId="1E4D3D09" w14:textId="77777777" w:rsidR="00535A55" w:rsidRDefault="00535A55"/>
    <w:p w14:paraId="5E226050" w14:textId="77777777" w:rsidR="00581F88" w:rsidRDefault="00581F88"/>
    <w:p w14:paraId="17F73B61" w14:textId="77777777" w:rsidR="00581F88" w:rsidRDefault="00581F88"/>
    <w:p w14:paraId="6BE6C459" w14:textId="0D244FF3" w:rsidR="00BF3CE4" w:rsidRDefault="00BF3CE4" w:rsidP="00581F88">
      <w:pPr>
        <w:pStyle w:val="Heading1"/>
      </w:pPr>
      <w:r>
        <w:t>References</w:t>
      </w:r>
    </w:p>
    <w:p w14:paraId="57A5A7F7" w14:textId="07D50531" w:rsidR="00BF3CE4" w:rsidRDefault="00BF3CE4">
      <w:r>
        <w:t xml:space="preserve">[1] </w:t>
      </w:r>
      <w:hyperlink r:id="rId4" w:history="1">
        <w:r w:rsidRPr="00581F88">
          <w:rPr>
            <w:rStyle w:val="Hyperlink"/>
          </w:rPr>
          <w:t>Coefficient of determination, Wikipedia</w:t>
        </w:r>
      </w:hyperlink>
    </w:p>
    <w:p w14:paraId="6812021E" w14:textId="307A9E2E" w:rsidR="00BF3CE4" w:rsidRDefault="00BF3CE4">
      <w:r>
        <w:t xml:space="preserve">[2] </w:t>
      </w:r>
      <w:hyperlink r:id="rId5" w:history="1">
        <w:r w:rsidR="00535A55" w:rsidRPr="00535A55">
          <w:rPr>
            <w:rStyle w:val="Hyperlink"/>
          </w:rPr>
          <w:t>Cross-Entropy, Wikipedia</w:t>
        </w:r>
      </w:hyperlink>
    </w:p>
    <w:p w14:paraId="777D106D" w14:textId="2CBE93CF" w:rsidR="00BF3CE4" w:rsidRDefault="00BF3CE4">
      <w:r>
        <w:t>[3]</w:t>
      </w:r>
      <w:r w:rsidR="00535A55">
        <w:t xml:space="preserve"> </w:t>
      </w:r>
      <w:hyperlink r:id="rId6" w:history="1">
        <w:r w:rsidR="00535A55" w:rsidRPr="00535A55">
          <w:rPr>
            <w:rStyle w:val="Hyperlink"/>
          </w:rPr>
          <w:t>Perplexity, Wikipedia</w:t>
        </w:r>
      </w:hyperlink>
    </w:p>
    <w:p w14:paraId="0CB8A419" w14:textId="77777777" w:rsidR="00BF3CE4" w:rsidRDefault="00BF3CE4"/>
    <w:p w14:paraId="792418C4" w14:textId="77777777" w:rsidR="00BF3CE4" w:rsidRDefault="00BF3CE4"/>
    <w:p w14:paraId="6CEF1671" w14:textId="77777777" w:rsidR="00BF3CE4" w:rsidRDefault="00BF3CE4"/>
    <w:sectPr w:rsidR="00BF3C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009D"/>
    <w:rsid w:val="000C04C1"/>
    <w:rsid w:val="001C7CE9"/>
    <w:rsid w:val="00243FB8"/>
    <w:rsid w:val="0028631B"/>
    <w:rsid w:val="003E009D"/>
    <w:rsid w:val="00535A55"/>
    <w:rsid w:val="0053777D"/>
    <w:rsid w:val="00581F88"/>
    <w:rsid w:val="005D257C"/>
    <w:rsid w:val="0076273D"/>
    <w:rsid w:val="009E4EFF"/>
    <w:rsid w:val="009F6FDA"/>
    <w:rsid w:val="00AD2000"/>
    <w:rsid w:val="00BF3CE4"/>
    <w:rsid w:val="00CF2E0F"/>
    <w:rsid w:val="00E71689"/>
    <w:rsid w:val="00F961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23B9C6C"/>
  <w15:chartTrackingRefBased/>
  <w15:docId w15:val="{DF74B618-13AB-2B40-8685-76441398E2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E009D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3E009D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009D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00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00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00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009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009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009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009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009D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009D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00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009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009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00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00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00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00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009D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009D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00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00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00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00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00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009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00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009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009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81F8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81F88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1C7CE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en.wikipedia.org/wiki/Perplexity" TargetMode="External"/><Relationship Id="rId5" Type="http://schemas.openxmlformats.org/officeDocument/2006/relationships/hyperlink" Target="https://en.wikipedia.org/wiki/Cross-entropy" TargetMode="External"/><Relationship Id="rId4" Type="http://schemas.openxmlformats.org/officeDocument/2006/relationships/hyperlink" Target="https://en.wikipedia.org/wiki/Coefficient_of_determina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169</Words>
  <Characters>906</Characters>
  <Application>Microsoft Office Word</Application>
  <DocSecurity>0</DocSecurity>
  <Lines>29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7</cp:revision>
  <dcterms:created xsi:type="dcterms:W3CDTF">2026-04-26T04:03:00Z</dcterms:created>
  <dcterms:modified xsi:type="dcterms:W3CDTF">2026-04-26T13:08:00Z</dcterms:modified>
</cp:coreProperties>
</file>