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4C1CDE" w14:textId="77777777" w:rsidR="0053777D" w:rsidRDefault="001E368C" w:rsidP="00A02B48">
      <w:pPr>
        <w:pStyle w:val="Title"/>
      </w:pPr>
      <w:r>
        <w:t>Structured Scalar Potential : Design and Theory</w:t>
      </w:r>
    </w:p>
    <w:p w14:paraId="53FC2CAA" w14:textId="77777777" w:rsidR="001E368C" w:rsidRDefault="001E368C">
      <w:r>
        <w:t>compiled by D. Gueorguiev, 6/14/2026</w:t>
      </w:r>
    </w:p>
    <w:p w14:paraId="0C4A628F" w14:textId="77777777" w:rsidR="001E368C" w:rsidRDefault="001E368C"/>
    <w:sdt>
      <w:sdtPr>
        <w:id w:val="614251103"/>
        <w:docPartObj>
          <w:docPartGallery w:val="Table of Contents"/>
          <w:docPartUnique/>
        </w:docPartObj>
      </w:sdtPr>
      <w:sdtEndPr>
        <w:rPr>
          <w:rFonts w:asciiTheme="minorHAnsi" w:eastAsiaTheme="minorHAnsi" w:hAnsiTheme="minorHAnsi" w:cstheme="minorBidi"/>
          <w:noProof/>
          <w:color w:val="auto"/>
          <w:kern w:val="2"/>
          <w:sz w:val="19"/>
          <w:szCs w:val="24"/>
          <w14:ligatures w14:val="standardContextual"/>
        </w:rPr>
      </w:sdtEndPr>
      <w:sdtContent>
        <w:p w14:paraId="446F6E45" w14:textId="476BEC1F" w:rsidR="00CA71F4" w:rsidRDefault="00CA71F4">
          <w:pPr>
            <w:pStyle w:val="TOCHeading"/>
          </w:pPr>
          <w:r>
            <w:t>Table of Contents</w:t>
          </w:r>
        </w:p>
        <w:p w14:paraId="4C11C9C9" w14:textId="72CD06C7" w:rsidR="00CA71F4" w:rsidRDefault="00CA71F4">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40119362" w:history="1">
            <w:r w:rsidRPr="00032C88">
              <w:rPr>
                <w:rStyle w:val="Hyperlink"/>
                <w:noProof/>
              </w:rPr>
              <w:t>Motivation</w:t>
            </w:r>
            <w:r>
              <w:rPr>
                <w:noProof/>
                <w:webHidden/>
              </w:rPr>
              <w:tab/>
            </w:r>
            <w:r>
              <w:rPr>
                <w:noProof/>
                <w:webHidden/>
              </w:rPr>
              <w:fldChar w:fldCharType="begin"/>
            </w:r>
            <w:r>
              <w:rPr>
                <w:noProof/>
                <w:webHidden/>
              </w:rPr>
              <w:instrText xml:space="preserve"> PAGEREF _Toc240119362 \h </w:instrText>
            </w:r>
            <w:r>
              <w:rPr>
                <w:noProof/>
                <w:webHidden/>
              </w:rPr>
            </w:r>
            <w:r>
              <w:rPr>
                <w:noProof/>
                <w:webHidden/>
              </w:rPr>
              <w:fldChar w:fldCharType="separate"/>
            </w:r>
            <w:r w:rsidR="00D13CA4">
              <w:rPr>
                <w:noProof/>
                <w:webHidden/>
              </w:rPr>
              <w:t>2</w:t>
            </w:r>
            <w:r>
              <w:rPr>
                <w:noProof/>
                <w:webHidden/>
              </w:rPr>
              <w:fldChar w:fldCharType="end"/>
            </w:r>
          </w:hyperlink>
        </w:p>
        <w:p w14:paraId="61770BCB" w14:textId="23AA2D70" w:rsidR="00CA71F4" w:rsidRDefault="00CA71F4">
          <w:pPr>
            <w:pStyle w:val="TOC2"/>
            <w:tabs>
              <w:tab w:val="right" w:leader="dot" w:pos="9350"/>
            </w:tabs>
            <w:rPr>
              <w:rFonts w:eastAsiaTheme="minorEastAsia"/>
              <w:b w:val="0"/>
              <w:bCs w:val="0"/>
              <w:noProof/>
              <w:sz w:val="24"/>
              <w:szCs w:val="24"/>
            </w:rPr>
          </w:pPr>
          <w:hyperlink w:anchor="_Toc240119363" w:history="1">
            <w:r w:rsidRPr="00032C88">
              <w:rPr>
                <w:rStyle w:val="Hyperlink"/>
                <w:noProof/>
              </w:rPr>
              <w:t>Potential Wells as Energy Landscapes</w:t>
            </w:r>
            <w:r>
              <w:rPr>
                <w:noProof/>
                <w:webHidden/>
              </w:rPr>
              <w:tab/>
            </w:r>
            <w:r>
              <w:rPr>
                <w:noProof/>
                <w:webHidden/>
              </w:rPr>
              <w:fldChar w:fldCharType="begin"/>
            </w:r>
            <w:r>
              <w:rPr>
                <w:noProof/>
                <w:webHidden/>
              </w:rPr>
              <w:instrText xml:space="preserve"> PAGEREF _Toc240119363 \h </w:instrText>
            </w:r>
            <w:r>
              <w:rPr>
                <w:noProof/>
                <w:webHidden/>
              </w:rPr>
            </w:r>
            <w:r>
              <w:rPr>
                <w:noProof/>
                <w:webHidden/>
              </w:rPr>
              <w:fldChar w:fldCharType="separate"/>
            </w:r>
            <w:r w:rsidR="00D13CA4">
              <w:rPr>
                <w:noProof/>
                <w:webHidden/>
              </w:rPr>
              <w:t>2</w:t>
            </w:r>
            <w:r>
              <w:rPr>
                <w:noProof/>
                <w:webHidden/>
              </w:rPr>
              <w:fldChar w:fldCharType="end"/>
            </w:r>
          </w:hyperlink>
        </w:p>
        <w:p w14:paraId="2F0C5A8A" w14:textId="115720C3" w:rsidR="00CA71F4" w:rsidRDefault="00CA71F4">
          <w:pPr>
            <w:pStyle w:val="TOC2"/>
            <w:tabs>
              <w:tab w:val="right" w:leader="dot" w:pos="9350"/>
            </w:tabs>
            <w:rPr>
              <w:rFonts w:eastAsiaTheme="minorEastAsia"/>
              <w:b w:val="0"/>
              <w:bCs w:val="0"/>
              <w:noProof/>
              <w:sz w:val="24"/>
              <w:szCs w:val="24"/>
            </w:rPr>
          </w:pPr>
          <w:hyperlink w:anchor="_Toc240119364" w:history="1">
            <w:r w:rsidRPr="00032C88">
              <w:rPr>
                <w:rStyle w:val="Hyperlink"/>
                <w:noProof/>
              </w:rPr>
              <w:t>Semantic Attractor Extraction Algorithm</w:t>
            </w:r>
            <w:r>
              <w:rPr>
                <w:noProof/>
                <w:webHidden/>
              </w:rPr>
              <w:tab/>
            </w:r>
            <w:r>
              <w:rPr>
                <w:noProof/>
                <w:webHidden/>
              </w:rPr>
              <w:fldChar w:fldCharType="begin"/>
            </w:r>
            <w:r>
              <w:rPr>
                <w:noProof/>
                <w:webHidden/>
              </w:rPr>
              <w:instrText xml:space="preserve"> PAGEREF _Toc240119364 \h </w:instrText>
            </w:r>
            <w:r>
              <w:rPr>
                <w:noProof/>
                <w:webHidden/>
              </w:rPr>
            </w:r>
            <w:r>
              <w:rPr>
                <w:noProof/>
                <w:webHidden/>
              </w:rPr>
              <w:fldChar w:fldCharType="separate"/>
            </w:r>
            <w:r w:rsidR="00D13CA4">
              <w:rPr>
                <w:noProof/>
                <w:webHidden/>
              </w:rPr>
              <w:t>3</w:t>
            </w:r>
            <w:r>
              <w:rPr>
                <w:noProof/>
                <w:webHidden/>
              </w:rPr>
              <w:fldChar w:fldCharType="end"/>
            </w:r>
          </w:hyperlink>
        </w:p>
        <w:p w14:paraId="07FA3A46" w14:textId="03696555" w:rsidR="00CA71F4" w:rsidRDefault="00CA71F4">
          <w:pPr>
            <w:pStyle w:val="TOC1"/>
            <w:tabs>
              <w:tab w:val="right" w:leader="dot" w:pos="9350"/>
            </w:tabs>
            <w:rPr>
              <w:rFonts w:eastAsiaTheme="minorEastAsia"/>
              <w:b w:val="0"/>
              <w:bCs w:val="0"/>
              <w:i w:val="0"/>
              <w:iCs w:val="0"/>
              <w:noProof/>
            </w:rPr>
          </w:pPr>
          <w:hyperlink w:anchor="_Toc240119365" w:history="1">
            <w:r w:rsidRPr="00032C88">
              <w:rPr>
                <w:rStyle w:val="Hyperlink"/>
                <w:noProof/>
              </w:rPr>
              <w:t>Potential Wells and the Concept of Temperature</w:t>
            </w:r>
            <w:r>
              <w:rPr>
                <w:noProof/>
                <w:webHidden/>
              </w:rPr>
              <w:tab/>
            </w:r>
            <w:r>
              <w:rPr>
                <w:noProof/>
                <w:webHidden/>
              </w:rPr>
              <w:fldChar w:fldCharType="begin"/>
            </w:r>
            <w:r>
              <w:rPr>
                <w:noProof/>
                <w:webHidden/>
              </w:rPr>
              <w:instrText xml:space="preserve"> PAGEREF _Toc240119365 \h </w:instrText>
            </w:r>
            <w:r>
              <w:rPr>
                <w:noProof/>
                <w:webHidden/>
              </w:rPr>
            </w:r>
            <w:r>
              <w:rPr>
                <w:noProof/>
                <w:webHidden/>
              </w:rPr>
              <w:fldChar w:fldCharType="separate"/>
            </w:r>
            <w:r w:rsidR="00D13CA4">
              <w:rPr>
                <w:noProof/>
                <w:webHidden/>
              </w:rPr>
              <w:t>4</w:t>
            </w:r>
            <w:r>
              <w:rPr>
                <w:noProof/>
                <w:webHidden/>
              </w:rPr>
              <w:fldChar w:fldCharType="end"/>
            </w:r>
          </w:hyperlink>
        </w:p>
        <w:p w14:paraId="259A569D" w14:textId="1382C3A3" w:rsidR="00CA71F4" w:rsidRDefault="00CA71F4">
          <w:pPr>
            <w:pStyle w:val="TOC2"/>
            <w:tabs>
              <w:tab w:val="right" w:leader="dot" w:pos="9350"/>
            </w:tabs>
            <w:rPr>
              <w:rFonts w:eastAsiaTheme="minorEastAsia"/>
              <w:b w:val="0"/>
              <w:bCs w:val="0"/>
              <w:noProof/>
              <w:sz w:val="24"/>
              <w:szCs w:val="24"/>
            </w:rPr>
          </w:pPr>
          <w:hyperlink w:anchor="_Toc240119366" w:history="1">
            <w:r w:rsidRPr="00032C88">
              <w:rPr>
                <w:rStyle w:val="Hyperlink"/>
                <w:noProof/>
              </w:rPr>
              <w:t>Temperature as Boltzmann weight, softmax, and log-sum-exp</w:t>
            </w:r>
            <w:r>
              <w:rPr>
                <w:noProof/>
                <w:webHidden/>
              </w:rPr>
              <w:tab/>
            </w:r>
            <w:r>
              <w:rPr>
                <w:noProof/>
                <w:webHidden/>
              </w:rPr>
              <w:fldChar w:fldCharType="begin"/>
            </w:r>
            <w:r>
              <w:rPr>
                <w:noProof/>
                <w:webHidden/>
              </w:rPr>
              <w:instrText xml:space="preserve"> PAGEREF _Toc240119366 \h </w:instrText>
            </w:r>
            <w:r>
              <w:rPr>
                <w:noProof/>
                <w:webHidden/>
              </w:rPr>
            </w:r>
            <w:r>
              <w:rPr>
                <w:noProof/>
                <w:webHidden/>
              </w:rPr>
              <w:fldChar w:fldCharType="separate"/>
            </w:r>
            <w:r w:rsidR="00D13CA4">
              <w:rPr>
                <w:noProof/>
                <w:webHidden/>
              </w:rPr>
              <w:t>4</w:t>
            </w:r>
            <w:r>
              <w:rPr>
                <w:noProof/>
                <w:webHidden/>
              </w:rPr>
              <w:fldChar w:fldCharType="end"/>
            </w:r>
          </w:hyperlink>
        </w:p>
        <w:p w14:paraId="2CF98DF1" w14:textId="54A40059" w:rsidR="00CA71F4" w:rsidRDefault="00CA71F4">
          <w:pPr>
            <w:pStyle w:val="TOC2"/>
            <w:tabs>
              <w:tab w:val="right" w:leader="dot" w:pos="9350"/>
            </w:tabs>
            <w:rPr>
              <w:rFonts w:eastAsiaTheme="minorEastAsia"/>
              <w:b w:val="0"/>
              <w:bCs w:val="0"/>
              <w:noProof/>
              <w:sz w:val="24"/>
              <w:szCs w:val="24"/>
            </w:rPr>
          </w:pPr>
          <w:hyperlink w:anchor="_Toc240119367" w:history="1">
            <w:r w:rsidRPr="00032C88">
              <w:rPr>
                <w:rStyle w:val="Hyperlink"/>
                <w:noProof/>
              </w:rPr>
              <w:t>What temperature does not change</w:t>
            </w:r>
            <w:r>
              <w:rPr>
                <w:noProof/>
                <w:webHidden/>
              </w:rPr>
              <w:tab/>
            </w:r>
            <w:r>
              <w:rPr>
                <w:noProof/>
                <w:webHidden/>
              </w:rPr>
              <w:fldChar w:fldCharType="begin"/>
            </w:r>
            <w:r>
              <w:rPr>
                <w:noProof/>
                <w:webHidden/>
              </w:rPr>
              <w:instrText xml:space="preserve"> PAGEREF _Toc240119367 \h </w:instrText>
            </w:r>
            <w:r>
              <w:rPr>
                <w:noProof/>
                <w:webHidden/>
              </w:rPr>
            </w:r>
            <w:r>
              <w:rPr>
                <w:noProof/>
                <w:webHidden/>
              </w:rPr>
              <w:fldChar w:fldCharType="separate"/>
            </w:r>
            <w:r w:rsidR="00D13CA4">
              <w:rPr>
                <w:noProof/>
                <w:webHidden/>
              </w:rPr>
              <w:t>5</w:t>
            </w:r>
            <w:r>
              <w:rPr>
                <w:noProof/>
                <w:webHidden/>
              </w:rPr>
              <w:fldChar w:fldCharType="end"/>
            </w:r>
          </w:hyperlink>
        </w:p>
        <w:p w14:paraId="7CC72645" w14:textId="62777741" w:rsidR="00CA71F4" w:rsidRDefault="00CA71F4">
          <w:pPr>
            <w:pStyle w:val="TOC2"/>
            <w:tabs>
              <w:tab w:val="right" w:leader="dot" w:pos="9350"/>
            </w:tabs>
            <w:rPr>
              <w:rFonts w:eastAsiaTheme="minorEastAsia"/>
              <w:b w:val="0"/>
              <w:bCs w:val="0"/>
              <w:noProof/>
              <w:sz w:val="24"/>
              <w:szCs w:val="24"/>
            </w:rPr>
          </w:pPr>
          <w:hyperlink w:anchor="_Toc240119368" w:history="1">
            <w:r w:rsidRPr="00032C88">
              <w:rPr>
                <w:rStyle w:val="Hyperlink"/>
                <w:noProof/>
              </w:rPr>
              <w:t>Three mixing regimes</w:t>
            </w:r>
            <w:r>
              <w:rPr>
                <w:noProof/>
                <w:webHidden/>
              </w:rPr>
              <w:tab/>
            </w:r>
            <w:r>
              <w:rPr>
                <w:noProof/>
                <w:webHidden/>
              </w:rPr>
              <w:fldChar w:fldCharType="begin"/>
            </w:r>
            <w:r>
              <w:rPr>
                <w:noProof/>
                <w:webHidden/>
              </w:rPr>
              <w:instrText xml:space="preserve"> PAGEREF _Toc240119368 \h </w:instrText>
            </w:r>
            <w:r>
              <w:rPr>
                <w:noProof/>
                <w:webHidden/>
              </w:rPr>
            </w:r>
            <w:r>
              <w:rPr>
                <w:noProof/>
                <w:webHidden/>
              </w:rPr>
              <w:fldChar w:fldCharType="separate"/>
            </w:r>
            <w:r w:rsidR="00D13CA4">
              <w:rPr>
                <w:noProof/>
                <w:webHidden/>
              </w:rPr>
              <w:t>5</w:t>
            </w:r>
            <w:r>
              <w:rPr>
                <w:noProof/>
                <w:webHidden/>
              </w:rPr>
              <w:fldChar w:fldCharType="end"/>
            </w:r>
          </w:hyperlink>
        </w:p>
        <w:p w14:paraId="7F142F75" w14:textId="1AC5E266" w:rsidR="00CA71F4" w:rsidRDefault="00CA71F4">
          <w:pPr>
            <w:pStyle w:val="TOC2"/>
            <w:tabs>
              <w:tab w:val="right" w:leader="dot" w:pos="9350"/>
            </w:tabs>
            <w:rPr>
              <w:rFonts w:eastAsiaTheme="minorEastAsia"/>
              <w:b w:val="0"/>
              <w:bCs w:val="0"/>
              <w:noProof/>
              <w:sz w:val="24"/>
              <w:szCs w:val="24"/>
            </w:rPr>
          </w:pPr>
          <w:hyperlink w:anchor="_Toc240119369" w:history="1">
            <w:r w:rsidRPr="00032C88">
              <w:rPr>
                <w:rStyle w:val="Hyperlink"/>
                <w:noProof/>
              </w:rPr>
              <w:t>Unit temperature, responsibilities, and the force</w:t>
            </w:r>
            <w:r>
              <w:rPr>
                <w:noProof/>
                <w:webHidden/>
              </w:rPr>
              <w:tab/>
            </w:r>
            <w:r>
              <w:rPr>
                <w:noProof/>
                <w:webHidden/>
              </w:rPr>
              <w:fldChar w:fldCharType="begin"/>
            </w:r>
            <w:r>
              <w:rPr>
                <w:noProof/>
                <w:webHidden/>
              </w:rPr>
              <w:instrText xml:space="preserve"> PAGEREF _Toc240119369 \h </w:instrText>
            </w:r>
            <w:r>
              <w:rPr>
                <w:noProof/>
                <w:webHidden/>
              </w:rPr>
            </w:r>
            <w:r>
              <w:rPr>
                <w:noProof/>
                <w:webHidden/>
              </w:rPr>
              <w:fldChar w:fldCharType="separate"/>
            </w:r>
            <w:r w:rsidR="00D13CA4">
              <w:rPr>
                <w:noProof/>
                <w:webHidden/>
              </w:rPr>
              <w:t>6</w:t>
            </w:r>
            <w:r>
              <w:rPr>
                <w:noProof/>
                <w:webHidden/>
              </w:rPr>
              <w:fldChar w:fldCharType="end"/>
            </w:r>
          </w:hyperlink>
        </w:p>
        <w:p w14:paraId="446D883A" w14:textId="582862DA" w:rsidR="00CA71F4" w:rsidRDefault="00CA71F4">
          <w:pPr>
            <w:pStyle w:val="TOC2"/>
            <w:tabs>
              <w:tab w:val="right" w:leader="dot" w:pos="9350"/>
            </w:tabs>
            <w:rPr>
              <w:rFonts w:eastAsiaTheme="minorEastAsia"/>
              <w:b w:val="0"/>
              <w:bCs w:val="0"/>
              <w:noProof/>
              <w:sz w:val="24"/>
              <w:szCs w:val="24"/>
            </w:rPr>
          </w:pPr>
          <w:hyperlink w:anchor="_Toc240119370" w:history="1">
            <w:r w:rsidRPr="00032C88">
              <w:rPr>
                <w:rStyle w:val="Hyperlink"/>
                <w:noProof/>
              </w:rPr>
              <w:t>The mixing rule does not assume quadratic wells</w:t>
            </w:r>
            <w:r>
              <w:rPr>
                <w:noProof/>
                <w:webHidden/>
              </w:rPr>
              <w:tab/>
            </w:r>
            <w:r>
              <w:rPr>
                <w:noProof/>
                <w:webHidden/>
              </w:rPr>
              <w:fldChar w:fldCharType="begin"/>
            </w:r>
            <w:r>
              <w:rPr>
                <w:noProof/>
                <w:webHidden/>
              </w:rPr>
              <w:instrText xml:space="preserve"> PAGEREF _Toc240119370 \h </w:instrText>
            </w:r>
            <w:r>
              <w:rPr>
                <w:noProof/>
                <w:webHidden/>
              </w:rPr>
            </w:r>
            <w:r>
              <w:rPr>
                <w:noProof/>
                <w:webHidden/>
              </w:rPr>
              <w:fldChar w:fldCharType="separate"/>
            </w:r>
            <w:r w:rsidR="00D13CA4">
              <w:rPr>
                <w:noProof/>
                <w:webHidden/>
              </w:rPr>
              <w:t>7</w:t>
            </w:r>
            <w:r>
              <w:rPr>
                <w:noProof/>
                <w:webHidden/>
              </w:rPr>
              <w:fldChar w:fldCharType="end"/>
            </w:r>
          </w:hyperlink>
        </w:p>
        <w:p w14:paraId="390FE220" w14:textId="6361628F" w:rsidR="00CA71F4" w:rsidRDefault="00CA71F4">
          <w:pPr>
            <w:pStyle w:val="TOC1"/>
            <w:tabs>
              <w:tab w:val="right" w:leader="dot" w:pos="9350"/>
            </w:tabs>
            <w:rPr>
              <w:rFonts w:eastAsiaTheme="minorEastAsia"/>
              <w:b w:val="0"/>
              <w:bCs w:val="0"/>
              <w:i w:val="0"/>
              <w:iCs w:val="0"/>
              <w:noProof/>
            </w:rPr>
          </w:pPr>
          <w:hyperlink w:anchor="_Toc240119371" w:history="1">
            <w:r w:rsidRPr="00032C88">
              <w:rPr>
                <w:rStyle w:val="Hyperlink"/>
                <w:noProof/>
              </w:rPr>
              <w:t>Quadratic and Gaussian Potential Wells</w:t>
            </w:r>
            <w:r>
              <w:rPr>
                <w:noProof/>
                <w:webHidden/>
              </w:rPr>
              <w:tab/>
            </w:r>
            <w:r>
              <w:rPr>
                <w:noProof/>
                <w:webHidden/>
              </w:rPr>
              <w:fldChar w:fldCharType="begin"/>
            </w:r>
            <w:r>
              <w:rPr>
                <w:noProof/>
                <w:webHidden/>
              </w:rPr>
              <w:instrText xml:space="preserve"> PAGEREF _Toc240119371 \h </w:instrText>
            </w:r>
            <w:r>
              <w:rPr>
                <w:noProof/>
                <w:webHidden/>
              </w:rPr>
            </w:r>
            <w:r>
              <w:rPr>
                <w:noProof/>
                <w:webHidden/>
              </w:rPr>
              <w:fldChar w:fldCharType="separate"/>
            </w:r>
            <w:r w:rsidR="00D13CA4">
              <w:rPr>
                <w:noProof/>
                <w:webHidden/>
              </w:rPr>
              <w:t>7</w:t>
            </w:r>
            <w:r>
              <w:rPr>
                <w:noProof/>
                <w:webHidden/>
              </w:rPr>
              <w:fldChar w:fldCharType="end"/>
            </w:r>
          </w:hyperlink>
        </w:p>
        <w:p w14:paraId="3162C349" w14:textId="1B0C709F" w:rsidR="00CA71F4" w:rsidRDefault="00CA71F4">
          <w:pPr>
            <w:pStyle w:val="TOC2"/>
            <w:tabs>
              <w:tab w:val="right" w:leader="dot" w:pos="9350"/>
            </w:tabs>
            <w:rPr>
              <w:rFonts w:eastAsiaTheme="minorEastAsia"/>
              <w:b w:val="0"/>
              <w:bCs w:val="0"/>
              <w:noProof/>
              <w:sz w:val="24"/>
              <w:szCs w:val="24"/>
            </w:rPr>
          </w:pPr>
          <w:hyperlink w:anchor="_Toc240119372" w:history="1">
            <w:r w:rsidRPr="00032C88">
              <w:rPr>
                <w:rStyle w:val="Hyperlink"/>
                <w:noProof/>
              </w:rPr>
              <w:t>Quadratic Wells</w:t>
            </w:r>
            <w:r>
              <w:rPr>
                <w:noProof/>
                <w:webHidden/>
              </w:rPr>
              <w:tab/>
            </w:r>
            <w:r>
              <w:rPr>
                <w:noProof/>
                <w:webHidden/>
              </w:rPr>
              <w:fldChar w:fldCharType="begin"/>
            </w:r>
            <w:r>
              <w:rPr>
                <w:noProof/>
                <w:webHidden/>
              </w:rPr>
              <w:instrText xml:space="preserve"> PAGEREF _Toc240119372 \h </w:instrText>
            </w:r>
            <w:r>
              <w:rPr>
                <w:noProof/>
                <w:webHidden/>
              </w:rPr>
            </w:r>
            <w:r>
              <w:rPr>
                <w:noProof/>
                <w:webHidden/>
              </w:rPr>
              <w:fldChar w:fldCharType="separate"/>
            </w:r>
            <w:r w:rsidR="00D13CA4">
              <w:rPr>
                <w:noProof/>
                <w:webHidden/>
              </w:rPr>
              <w:t>8</w:t>
            </w:r>
            <w:r>
              <w:rPr>
                <w:noProof/>
                <w:webHidden/>
              </w:rPr>
              <w:fldChar w:fldCharType="end"/>
            </w:r>
          </w:hyperlink>
        </w:p>
        <w:p w14:paraId="34EAA34F" w14:textId="62094C1A" w:rsidR="00CA71F4" w:rsidRDefault="00CA71F4">
          <w:pPr>
            <w:pStyle w:val="TOC3"/>
            <w:tabs>
              <w:tab w:val="right" w:leader="dot" w:pos="9350"/>
            </w:tabs>
            <w:rPr>
              <w:rFonts w:eastAsiaTheme="minorEastAsia"/>
              <w:noProof/>
              <w:sz w:val="24"/>
              <w:szCs w:val="24"/>
            </w:rPr>
          </w:pPr>
          <w:hyperlink w:anchor="_Toc240119373" w:history="1">
            <w:r w:rsidRPr="00032C88">
              <w:rPr>
                <w:rStyle w:val="Hyperlink"/>
                <w:noProof/>
              </w:rPr>
              <w:t>The equivalence</w:t>
            </w:r>
            <w:r>
              <w:rPr>
                <w:noProof/>
                <w:webHidden/>
              </w:rPr>
              <w:tab/>
            </w:r>
            <w:r>
              <w:rPr>
                <w:noProof/>
                <w:webHidden/>
              </w:rPr>
              <w:fldChar w:fldCharType="begin"/>
            </w:r>
            <w:r>
              <w:rPr>
                <w:noProof/>
                <w:webHidden/>
              </w:rPr>
              <w:instrText xml:space="preserve"> PAGEREF _Toc240119373 \h </w:instrText>
            </w:r>
            <w:r>
              <w:rPr>
                <w:noProof/>
                <w:webHidden/>
              </w:rPr>
            </w:r>
            <w:r>
              <w:rPr>
                <w:noProof/>
                <w:webHidden/>
              </w:rPr>
              <w:fldChar w:fldCharType="separate"/>
            </w:r>
            <w:r w:rsidR="00D13CA4">
              <w:rPr>
                <w:noProof/>
                <w:webHidden/>
              </w:rPr>
              <w:t>8</w:t>
            </w:r>
            <w:r>
              <w:rPr>
                <w:noProof/>
                <w:webHidden/>
              </w:rPr>
              <w:fldChar w:fldCharType="end"/>
            </w:r>
          </w:hyperlink>
        </w:p>
        <w:p w14:paraId="2887D4BC" w14:textId="79B2F160" w:rsidR="00CA71F4" w:rsidRDefault="00CA71F4">
          <w:pPr>
            <w:pStyle w:val="TOC3"/>
            <w:tabs>
              <w:tab w:val="right" w:leader="dot" w:pos="9350"/>
            </w:tabs>
            <w:rPr>
              <w:rFonts w:eastAsiaTheme="minorEastAsia"/>
              <w:noProof/>
              <w:sz w:val="24"/>
              <w:szCs w:val="24"/>
            </w:rPr>
          </w:pPr>
          <w:hyperlink w:anchor="_Toc240119374" w:history="1">
            <w:r w:rsidRPr="00032C88">
              <w:rPr>
                <w:rStyle w:val="Hyperlink"/>
                <w:rFonts w:ascii="Calibri" w:hAnsi="Calibri"/>
                <w:noProof/>
              </w:rPr>
              <w:t>Why SQ3 recovers the Gaussian mixture</w:t>
            </w:r>
            <w:r>
              <w:rPr>
                <w:noProof/>
                <w:webHidden/>
              </w:rPr>
              <w:tab/>
            </w:r>
            <w:r>
              <w:rPr>
                <w:noProof/>
                <w:webHidden/>
              </w:rPr>
              <w:fldChar w:fldCharType="begin"/>
            </w:r>
            <w:r>
              <w:rPr>
                <w:noProof/>
                <w:webHidden/>
              </w:rPr>
              <w:instrText xml:space="preserve"> PAGEREF _Toc240119374 \h </w:instrText>
            </w:r>
            <w:r>
              <w:rPr>
                <w:noProof/>
                <w:webHidden/>
              </w:rPr>
            </w:r>
            <w:r>
              <w:rPr>
                <w:noProof/>
                <w:webHidden/>
              </w:rPr>
              <w:fldChar w:fldCharType="separate"/>
            </w:r>
            <w:r w:rsidR="00D13CA4">
              <w:rPr>
                <w:noProof/>
                <w:webHidden/>
              </w:rPr>
              <w:t>8</w:t>
            </w:r>
            <w:r>
              <w:rPr>
                <w:noProof/>
                <w:webHidden/>
              </w:rPr>
              <w:fldChar w:fldCharType="end"/>
            </w:r>
          </w:hyperlink>
        </w:p>
        <w:p w14:paraId="7DF8EB43" w14:textId="7A9D1DFA" w:rsidR="00CA71F4" w:rsidRDefault="00CA71F4">
          <w:pPr>
            <w:pStyle w:val="TOC3"/>
            <w:tabs>
              <w:tab w:val="right" w:leader="dot" w:pos="9350"/>
            </w:tabs>
            <w:rPr>
              <w:rFonts w:eastAsiaTheme="minorEastAsia"/>
              <w:noProof/>
              <w:sz w:val="24"/>
              <w:szCs w:val="24"/>
            </w:rPr>
          </w:pPr>
          <w:hyperlink w:anchor="_Toc240119375" w:history="1">
            <w:r w:rsidRPr="00032C88">
              <w:rPr>
                <w:rStyle w:val="Hyperlink"/>
                <w:noProof/>
              </w:rPr>
              <w:t>The parameter τ (temperature) in the quadratic well design</w:t>
            </w:r>
            <w:r>
              <w:rPr>
                <w:noProof/>
                <w:webHidden/>
              </w:rPr>
              <w:tab/>
            </w:r>
            <w:r>
              <w:rPr>
                <w:noProof/>
                <w:webHidden/>
              </w:rPr>
              <w:fldChar w:fldCharType="begin"/>
            </w:r>
            <w:r>
              <w:rPr>
                <w:noProof/>
                <w:webHidden/>
              </w:rPr>
              <w:instrText xml:space="preserve"> PAGEREF _Toc240119375 \h </w:instrText>
            </w:r>
            <w:r>
              <w:rPr>
                <w:noProof/>
                <w:webHidden/>
              </w:rPr>
            </w:r>
            <w:r>
              <w:rPr>
                <w:noProof/>
                <w:webHidden/>
              </w:rPr>
              <w:fldChar w:fldCharType="separate"/>
            </w:r>
            <w:r w:rsidR="00D13CA4">
              <w:rPr>
                <w:noProof/>
                <w:webHidden/>
              </w:rPr>
              <w:t>9</w:t>
            </w:r>
            <w:r>
              <w:rPr>
                <w:noProof/>
                <w:webHidden/>
              </w:rPr>
              <w:fldChar w:fldCharType="end"/>
            </w:r>
          </w:hyperlink>
        </w:p>
        <w:p w14:paraId="516667AB" w14:textId="6227C89C" w:rsidR="00CA71F4" w:rsidRDefault="00CA71F4">
          <w:pPr>
            <w:pStyle w:val="TOC3"/>
            <w:tabs>
              <w:tab w:val="right" w:leader="dot" w:pos="9350"/>
            </w:tabs>
            <w:rPr>
              <w:rFonts w:eastAsiaTheme="minorEastAsia"/>
              <w:noProof/>
              <w:sz w:val="24"/>
              <w:szCs w:val="24"/>
            </w:rPr>
          </w:pPr>
          <w:hyperlink w:anchor="_Toc240119376" w:history="1">
            <w:r w:rsidRPr="00032C88">
              <w:rPr>
                <w:rStyle w:val="Hyperlink"/>
                <w:rFonts w:ascii="Calibri" w:hAnsi="Calibri"/>
                <w:noProof/>
              </w:rPr>
              <w:t>What τ controls</w:t>
            </w:r>
            <w:r>
              <w:rPr>
                <w:noProof/>
                <w:webHidden/>
              </w:rPr>
              <w:tab/>
            </w:r>
            <w:r>
              <w:rPr>
                <w:noProof/>
                <w:webHidden/>
              </w:rPr>
              <w:fldChar w:fldCharType="begin"/>
            </w:r>
            <w:r>
              <w:rPr>
                <w:noProof/>
                <w:webHidden/>
              </w:rPr>
              <w:instrText xml:space="preserve"> PAGEREF _Toc240119376 \h </w:instrText>
            </w:r>
            <w:r>
              <w:rPr>
                <w:noProof/>
                <w:webHidden/>
              </w:rPr>
            </w:r>
            <w:r>
              <w:rPr>
                <w:noProof/>
                <w:webHidden/>
              </w:rPr>
              <w:fldChar w:fldCharType="separate"/>
            </w:r>
            <w:r w:rsidR="00D13CA4">
              <w:rPr>
                <w:noProof/>
                <w:webHidden/>
              </w:rPr>
              <w:t>9</w:t>
            </w:r>
            <w:r>
              <w:rPr>
                <w:noProof/>
                <w:webHidden/>
              </w:rPr>
              <w:fldChar w:fldCharType="end"/>
            </w:r>
          </w:hyperlink>
        </w:p>
        <w:p w14:paraId="60A3EE8D" w14:textId="0310E781" w:rsidR="00CA71F4" w:rsidRDefault="00CA71F4">
          <w:pPr>
            <w:pStyle w:val="TOC3"/>
            <w:tabs>
              <w:tab w:val="right" w:leader="dot" w:pos="9350"/>
            </w:tabs>
            <w:rPr>
              <w:rFonts w:eastAsiaTheme="minorEastAsia"/>
              <w:noProof/>
              <w:sz w:val="24"/>
              <w:szCs w:val="24"/>
            </w:rPr>
          </w:pPr>
          <w:hyperlink w:anchor="_Toc240119377" w:history="1">
            <w:r w:rsidRPr="00032C88">
              <w:rPr>
                <w:rStyle w:val="Hyperlink"/>
                <w:rFonts w:ascii="Calibri" w:hAnsi="Calibri"/>
                <w:noProof/>
              </w:rPr>
              <w:t>The practical punchline</w:t>
            </w:r>
            <w:r>
              <w:rPr>
                <w:noProof/>
                <w:webHidden/>
              </w:rPr>
              <w:tab/>
            </w:r>
            <w:r>
              <w:rPr>
                <w:noProof/>
                <w:webHidden/>
              </w:rPr>
              <w:fldChar w:fldCharType="begin"/>
            </w:r>
            <w:r>
              <w:rPr>
                <w:noProof/>
                <w:webHidden/>
              </w:rPr>
              <w:instrText xml:space="preserve"> PAGEREF _Toc240119377 \h </w:instrText>
            </w:r>
            <w:r>
              <w:rPr>
                <w:noProof/>
                <w:webHidden/>
              </w:rPr>
            </w:r>
            <w:r>
              <w:rPr>
                <w:noProof/>
                <w:webHidden/>
              </w:rPr>
              <w:fldChar w:fldCharType="separate"/>
            </w:r>
            <w:r w:rsidR="00D13CA4">
              <w:rPr>
                <w:noProof/>
                <w:webHidden/>
              </w:rPr>
              <w:t>9</w:t>
            </w:r>
            <w:r>
              <w:rPr>
                <w:noProof/>
                <w:webHidden/>
              </w:rPr>
              <w:fldChar w:fldCharType="end"/>
            </w:r>
          </w:hyperlink>
        </w:p>
        <w:p w14:paraId="0C03727D" w14:textId="708F7B5E" w:rsidR="00CA71F4" w:rsidRDefault="00CA71F4">
          <w:pPr>
            <w:pStyle w:val="TOC2"/>
            <w:tabs>
              <w:tab w:val="right" w:leader="dot" w:pos="9350"/>
            </w:tabs>
            <w:rPr>
              <w:rFonts w:eastAsiaTheme="minorEastAsia"/>
              <w:b w:val="0"/>
              <w:bCs w:val="0"/>
              <w:noProof/>
              <w:sz w:val="24"/>
              <w:szCs w:val="24"/>
            </w:rPr>
          </w:pPr>
          <w:hyperlink w:anchor="_Toc240119378" w:history="1">
            <w:r w:rsidRPr="00032C88">
              <w:rPr>
                <w:rStyle w:val="Hyperlink"/>
                <w:noProof/>
              </w:rPr>
              <w:t>Gaussian Wells</w:t>
            </w:r>
            <w:r>
              <w:rPr>
                <w:noProof/>
                <w:webHidden/>
              </w:rPr>
              <w:tab/>
            </w:r>
            <w:r>
              <w:rPr>
                <w:noProof/>
                <w:webHidden/>
              </w:rPr>
              <w:fldChar w:fldCharType="begin"/>
            </w:r>
            <w:r>
              <w:rPr>
                <w:noProof/>
                <w:webHidden/>
              </w:rPr>
              <w:instrText xml:space="preserve"> PAGEREF _Toc240119378 \h </w:instrText>
            </w:r>
            <w:r>
              <w:rPr>
                <w:noProof/>
                <w:webHidden/>
              </w:rPr>
            </w:r>
            <w:r>
              <w:rPr>
                <w:noProof/>
                <w:webHidden/>
              </w:rPr>
              <w:fldChar w:fldCharType="separate"/>
            </w:r>
            <w:r w:rsidR="00D13CA4">
              <w:rPr>
                <w:noProof/>
                <w:webHidden/>
              </w:rPr>
              <w:t>10</w:t>
            </w:r>
            <w:r>
              <w:rPr>
                <w:noProof/>
                <w:webHidden/>
              </w:rPr>
              <w:fldChar w:fldCharType="end"/>
            </w:r>
          </w:hyperlink>
        </w:p>
        <w:p w14:paraId="7B4BE206" w14:textId="0961A56A" w:rsidR="00CA71F4" w:rsidRDefault="00CA71F4">
          <w:pPr>
            <w:pStyle w:val="TOC3"/>
            <w:tabs>
              <w:tab w:val="right" w:leader="dot" w:pos="9350"/>
            </w:tabs>
            <w:rPr>
              <w:rFonts w:eastAsiaTheme="minorEastAsia"/>
              <w:noProof/>
              <w:sz w:val="24"/>
              <w:szCs w:val="24"/>
            </w:rPr>
          </w:pPr>
          <w:hyperlink w:anchor="_Toc240119379" w:history="1">
            <w:r w:rsidRPr="00032C88">
              <w:rPr>
                <w:rStyle w:val="Hyperlink"/>
                <w:noProof/>
              </w:rPr>
              <w:t>Isotropic implementation: MixtureGaussianVTheta</w:t>
            </w:r>
            <w:r>
              <w:rPr>
                <w:noProof/>
                <w:webHidden/>
              </w:rPr>
              <w:tab/>
            </w:r>
            <w:r>
              <w:rPr>
                <w:noProof/>
                <w:webHidden/>
              </w:rPr>
              <w:fldChar w:fldCharType="begin"/>
            </w:r>
            <w:r>
              <w:rPr>
                <w:noProof/>
                <w:webHidden/>
              </w:rPr>
              <w:instrText xml:space="preserve"> PAGEREF _Toc240119379 \h </w:instrText>
            </w:r>
            <w:r>
              <w:rPr>
                <w:noProof/>
                <w:webHidden/>
              </w:rPr>
            </w:r>
            <w:r>
              <w:rPr>
                <w:noProof/>
                <w:webHidden/>
              </w:rPr>
              <w:fldChar w:fldCharType="separate"/>
            </w:r>
            <w:r w:rsidR="00D13CA4">
              <w:rPr>
                <w:noProof/>
                <w:webHidden/>
              </w:rPr>
              <w:t>10</w:t>
            </w:r>
            <w:r>
              <w:rPr>
                <w:noProof/>
                <w:webHidden/>
              </w:rPr>
              <w:fldChar w:fldCharType="end"/>
            </w:r>
          </w:hyperlink>
        </w:p>
        <w:p w14:paraId="292AFE5C" w14:textId="412E6EBB" w:rsidR="00CA71F4" w:rsidRDefault="00CA71F4">
          <w:pPr>
            <w:pStyle w:val="TOC3"/>
            <w:tabs>
              <w:tab w:val="right" w:leader="dot" w:pos="9350"/>
            </w:tabs>
            <w:rPr>
              <w:rFonts w:eastAsiaTheme="minorEastAsia"/>
              <w:noProof/>
              <w:sz w:val="24"/>
              <w:szCs w:val="24"/>
            </w:rPr>
          </w:pPr>
          <w:hyperlink w:anchor="_Toc240119380" w:history="1">
            <w:r w:rsidRPr="00032C88">
              <w:rPr>
                <w:rStyle w:val="Hyperlink"/>
                <w:noProof/>
              </w:rPr>
              <w:t>Anisotropic implementation: diagonal + low-rank precision</w:t>
            </w:r>
            <w:r>
              <w:rPr>
                <w:noProof/>
                <w:webHidden/>
              </w:rPr>
              <w:tab/>
            </w:r>
            <w:r>
              <w:rPr>
                <w:noProof/>
                <w:webHidden/>
              </w:rPr>
              <w:fldChar w:fldCharType="begin"/>
            </w:r>
            <w:r>
              <w:rPr>
                <w:noProof/>
                <w:webHidden/>
              </w:rPr>
              <w:instrText xml:space="preserve"> PAGEREF _Toc240119380 \h </w:instrText>
            </w:r>
            <w:r>
              <w:rPr>
                <w:noProof/>
                <w:webHidden/>
              </w:rPr>
            </w:r>
            <w:r>
              <w:rPr>
                <w:noProof/>
                <w:webHidden/>
              </w:rPr>
              <w:fldChar w:fldCharType="separate"/>
            </w:r>
            <w:r w:rsidR="00D13CA4">
              <w:rPr>
                <w:noProof/>
                <w:webHidden/>
              </w:rPr>
              <w:t>11</w:t>
            </w:r>
            <w:r>
              <w:rPr>
                <w:noProof/>
                <w:webHidden/>
              </w:rPr>
              <w:fldChar w:fldCharType="end"/>
            </w:r>
          </w:hyperlink>
        </w:p>
        <w:p w14:paraId="716CE4C3" w14:textId="0E2FF37B" w:rsidR="00CA71F4" w:rsidRDefault="00CA71F4">
          <w:pPr>
            <w:pStyle w:val="TOC3"/>
            <w:tabs>
              <w:tab w:val="right" w:leader="dot" w:pos="9350"/>
            </w:tabs>
            <w:rPr>
              <w:rFonts w:eastAsiaTheme="minorEastAsia"/>
              <w:noProof/>
              <w:sz w:val="24"/>
              <w:szCs w:val="24"/>
            </w:rPr>
          </w:pPr>
          <w:hyperlink w:anchor="_Toc240119381" w:history="1">
            <w:r w:rsidRPr="00032C88">
              <w:rPr>
                <w:rStyle w:val="Hyperlink"/>
                <w:noProof/>
              </w:rPr>
              <w:t>Empirical comparison</w:t>
            </w:r>
            <w:r>
              <w:rPr>
                <w:noProof/>
                <w:webHidden/>
              </w:rPr>
              <w:tab/>
            </w:r>
            <w:r>
              <w:rPr>
                <w:noProof/>
                <w:webHidden/>
              </w:rPr>
              <w:fldChar w:fldCharType="begin"/>
            </w:r>
            <w:r>
              <w:rPr>
                <w:noProof/>
                <w:webHidden/>
              </w:rPr>
              <w:instrText xml:space="preserve"> PAGEREF _Toc240119381 \h </w:instrText>
            </w:r>
            <w:r>
              <w:rPr>
                <w:noProof/>
                <w:webHidden/>
              </w:rPr>
            </w:r>
            <w:r>
              <w:rPr>
                <w:noProof/>
                <w:webHidden/>
              </w:rPr>
              <w:fldChar w:fldCharType="separate"/>
            </w:r>
            <w:r w:rsidR="00D13CA4">
              <w:rPr>
                <w:noProof/>
                <w:webHidden/>
              </w:rPr>
              <w:t>12</w:t>
            </w:r>
            <w:r>
              <w:rPr>
                <w:noProof/>
                <w:webHidden/>
              </w:rPr>
              <w:fldChar w:fldCharType="end"/>
            </w:r>
          </w:hyperlink>
        </w:p>
        <w:p w14:paraId="799108C5" w14:textId="6EBCB60F" w:rsidR="00CA71F4" w:rsidRDefault="00CA71F4">
          <w:pPr>
            <w:pStyle w:val="TOC2"/>
            <w:tabs>
              <w:tab w:val="right" w:leader="dot" w:pos="9350"/>
            </w:tabs>
            <w:rPr>
              <w:rFonts w:eastAsiaTheme="minorEastAsia"/>
              <w:b w:val="0"/>
              <w:bCs w:val="0"/>
              <w:noProof/>
              <w:sz w:val="24"/>
              <w:szCs w:val="24"/>
            </w:rPr>
          </w:pPr>
          <w:hyperlink w:anchor="_Toc240119382" w:history="1">
            <w:r w:rsidRPr="00032C88">
              <w:rPr>
                <w:rStyle w:val="Hyperlink"/>
                <w:noProof/>
              </w:rPr>
              <w:t>Curvature Diagnostics and Rank Selection for the Anisotropic Well</w:t>
            </w:r>
            <w:r>
              <w:rPr>
                <w:noProof/>
                <w:webHidden/>
              </w:rPr>
              <w:tab/>
            </w:r>
            <w:r>
              <w:rPr>
                <w:noProof/>
                <w:webHidden/>
              </w:rPr>
              <w:fldChar w:fldCharType="begin"/>
            </w:r>
            <w:r>
              <w:rPr>
                <w:noProof/>
                <w:webHidden/>
              </w:rPr>
              <w:instrText xml:space="preserve"> PAGEREF _Toc240119382 \h </w:instrText>
            </w:r>
            <w:r>
              <w:rPr>
                <w:noProof/>
                <w:webHidden/>
              </w:rPr>
            </w:r>
            <w:r>
              <w:rPr>
                <w:noProof/>
                <w:webHidden/>
              </w:rPr>
              <w:fldChar w:fldCharType="separate"/>
            </w:r>
            <w:r w:rsidR="00D13CA4">
              <w:rPr>
                <w:noProof/>
                <w:webHidden/>
              </w:rPr>
              <w:t>13</w:t>
            </w:r>
            <w:r>
              <w:rPr>
                <w:noProof/>
                <w:webHidden/>
              </w:rPr>
              <w:fldChar w:fldCharType="end"/>
            </w:r>
          </w:hyperlink>
        </w:p>
        <w:p w14:paraId="4C0A5830" w14:textId="40A12C47" w:rsidR="00CA71F4" w:rsidRDefault="00CA71F4">
          <w:pPr>
            <w:pStyle w:val="TOC3"/>
            <w:tabs>
              <w:tab w:val="right" w:leader="dot" w:pos="9350"/>
            </w:tabs>
            <w:rPr>
              <w:rFonts w:eastAsiaTheme="minorEastAsia"/>
              <w:noProof/>
              <w:sz w:val="24"/>
              <w:szCs w:val="24"/>
            </w:rPr>
          </w:pPr>
          <w:hyperlink w:anchor="_Toc240119383" w:history="1">
            <w:r w:rsidRPr="00032C88">
              <w:rPr>
                <w:rStyle w:val="Hyperlink"/>
                <w:noProof/>
              </w:rPr>
              <w:t>Effective rank as a measurement: the participation ratio</w:t>
            </w:r>
            <w:r>
              <w:rPr>
                <w:noProof/>
                <w:webHidden/>
              </w:rPr>
              <w:tab/>
            </w:r>
            <w:r>
              <w:rPr>
                <w:noProof/>
                <w:webHidden/>
              </w:rPr>
              <w:fldChar w:fldCharType="begin"/>
            </w:r>
            <w:r>
              <w:rPr>
                <w:noProof/>
                <w:webHidden/>
              </w:rPr>
              <w:instrText xml:space="preserve"> PAGEREF _Toc240119383 \h </w:instrText>
            </w:r>
            <w:r>
              <w:rPr>
                <w:noProof/>
                <w:webHidden/>
              </w:rPr>
            </w:r>
            <w:r>
              <w:rPr>
                <w:noProof/>
                <w:webHidden/>
              </w:rPr>
              <w:fldChar w:fldCharType="separate"/>
            </w:r>
            <w:r w:rsidR="00D13CA4">
              <w:rPr>
                <w:noProof/>
                <w:webHidden/>
              </w:rPr>
              <w:t>13</w:t>
            </w:r>
            <w:r>
              <w:rPr>
                <w:noProof/>
                <w:webHidden/>
              </w:rPr>
              <w:fldChar w:fldCharType="end"/>
            </w:r>
          </w:hyperlink>
        </w:p>
        <w:p w14:paraId="43E6158F" w14:textId="005FA0B9" w:rsidR="00CA71F4" w:rsidRDefault="00CA71F4">
          <w:pPr>
            <w:pStyle w:val="TOC3"/>
            <w:tabs>
              <w:tab w:val="right" w:leader="dot" w:pos="9350"/>
            </w:tabs>
            <w:rPr>
              <w:rFonts w:eastAsiaTheme="minorEastAsia"/>
              <w:noProof/>
              <w:sz w:val="24"/>
              <w:szCs w:val="24"/>
            </w:rPr>
          </w:pPr>
          <w:hyperlink w:anchor="_Toc240119384" w:history="1">
            <w:r w:rsidRPr="00032C88">
              <w:rPr>
                <w:rStyle w:val="Hyperlink"/>
                <w:noProof/>
              </w:rPr>
              <w:t>Rank under a binding cap: redistribution, not addition</w:t>
            </w:r>
            <w:r>
              <w:rPr>
                <w:noProof/>
                <w:webHidden/>
              </w:rPr>
              <w:tab/>
            </w:r>
            <w:r>
              <w:rPr>
                <w:noProof/>
                <w:webHidden/>
              </w:rPr>
              <w:fldChar w:fldCharType="begin"/>
            </w:r>
            <w:r>
              <w:rPr>
                <w:noProof/>
                <w:webHidden/>
              </w:rPr>
              <w:instrText xml:space="preserve"> PAGEREF _Toc240119384 \h </w:instrText>
            </w:r>
            <w:r>
              <w:rPr>
                <w:noProof/>
                <w:webHidden/>
              </w:rPr>
            </w:r>
            <w:r>
              <w:rPr>
                <w:noProof/>
                <w:webHidden/>
              </w:rPr>
              <w:fldChar w:fldCharType="separate"/>
            </w:r>
            <w:r w:rsidR="00D13CA4">
              <w:rPr>
                <w:noProof/>
                <w:webHidden/>
              </w:rPr>
              <w:t>13</w:t>
            </w:r>
            <w:r>
              <w:rPr>
                <w:noProof/>
                <w:webHidden/>
              </w:rPr>
              <w:fldChar w:fldCharType="end"/>
            </w:r>
          </w:hyperlink>
        </w:p>
        <w:p w14:paraId="6CD5ECE8" w14:textId="3F1B46D6" w:rsidR="00CA71F4" w:rsidRDefault="00CA71F4">
          <w:pPr>
            <w:pStyle w:val="TOC3"/>
            <w:tabs>
              <w:tab w:val="right" w:leader="dot" w:pos="9350"/>
            </w:tabs>
            <w:rPr>
              <w:rFonts w:eastAsiaTheme="minorEastAsia"/>
              <w:noProof/>
              <w:sz w:val="24"/>
              <w:szCs w:val="24"/>
            </w:rPr>
          </w:pPr>
          <w:hyperlink w:anchor="_Toc240119385" w:history="1">
            <w:r w:rsidRPr="00032C88">
              <w:rPr>
                <w:rStyle w:val="Hyperlink"/>
                <w:noProof/>
              </w:rPr>
              <w:t>A procedure for choosing the rank</w:t>
            </w:r>
            <w:r>
              <w:rPr>
                <w:noProof/>
                <w:webHidden/>
              </w:rPr>
              <w:tab/>
            </w:r>
            <w:r>
              <w:rPr>
                <w:noProof/>
                <w:webHidden/>
              </w:rPr>
              <w:fldChar w:fldCharType="begin"/>
            </w:r>
            <w:r>
              <w:rPr>
                <w:noProof/>
                <w:webHidden/>
              </w:rPr>
              <w:instrText xml:space="preserve"> PAGEREF _Toc240119385 \h </w:instrText>
            </w:r>
            <w:r>
              <w:rPr>
                <w:noProof/>
                <w:webHidden/>
              </w:rPr>
            </w:r>
            <w:r>
              <w:rPr>
                <w:noProof/>
                <w:webHidden/>
              </w:rPr>
              <w:fldChar w:fldCharType="separate"/>
            </w:r>
            <w:r w:rsidR="00D13CA4">
              <w:rPr>
                <w:noProof/>
                <w:webHidden/>
              </w:rPr>
              <w:t>14</w:t>
            </w:r>
            <w:r>
              <w:rPr>
                <w:noProof/>
                <w:webHidden/>
              </w:rPr>
              <w:fldChar w:fldCharType="end"/>
            </w:r>
          </w:hyperlink>
        </w:p>
        <w:p w14:paraId="65EE77F1" w14:textId="0DC7C24E" w:rsidR="00CA71F4" w:rsidRDefault="00CA71F4">
          <w:pPr>
            <w:pStyle w:val="TOC2"/>
            <w:tabs>
              <w:tab w:val="right" w:leader="dot" w:pos="9350"/>
            </w:tabs>
            <w:rPr>
              <w:rFonts w:eastAsiaTheme="minorEastAsia"/>
              <w:b w:val="0"/>
              <w:bCs w:val="0"/>
              <w:noProof/>
              <w:sz w:val="24"/>
              <w:szCs w:val="24"/>
            </w:rPr>
          </w:pPr>
          <w:hyperlink w:anchor="_Toc240119386" w:history="1">
            <w:r w:rsidRPr="00032C88">
              <w:rPr>
                <w:rStyle w:val="Hyperlink"/>
                <w:noProof/>
              </w:rPr>
              <w:t>Note on multi-</w:t>
            </w:r>
            <m:oMath>
              <m:r>
                <m:rPr>
                  <m:sty m:val="bi"/>
                </m:rPr>
                <w:rPr>
                  <w:rStyle w:val="Hyperlink"/>
                  <w:rFonts w:ascii="Cambria Math" w:hAnsi="Cambria Math"/>
                  <w:noProof/>
                </w:rPr>
                <m:t>ξ</m:t>
              </m:r>
            </m:oMath>
            <w:r w:rsidRPr="00032C88">
              <w:rPr>
                <w:rStyle w:val="Hyperlink"/>
                <w:noProof/>
              </w:rPr>
              <w:t xml:space="preserve"> context channels and K-EMA</w:t>
            </w:r>
            <w:r>
              <w:rPr>
                <w:noProof/>
                <w:webHidden/>
              </w:rPr>
              <w:tab/>
            </w:r>
            <w:r>
              <w:rPr>
                <w:noProof/>
                <w:webHidden/>
              </w:rPr>
              <w:fldChar w:fldCharType="begin"/>
            </w:r>
            <w:r>
              <w:rPr>
                <w:noProof/>
                <w:webHidden/>
              </w:rPr>
              <w:instrText xml:space="preserve"> PAGEREF _Toc240119386 \h </w:instrText>
            </w:r>
            <w:r>
              <w:rPr>
                <w:noProof/>
                <w:webHidden/>
              </w:rPr>
            </w:r>
            <w:r>
              <w:rPr>
                <w:noProof/>
                <w:webHidden/>
              </w:rPr>
              <w:fldChar w:fldCharType="separate"/>
            </w:r>
            <w:r w:rsidR="00D13CA4">
              <w:rPr>
                <w:noProof/>
                <w:webHidden/>
              </w:rPr>
              <w:t>14</w:t>
            </w:r>
            <w:r>
              <w:rPr>
                <w:noProof/>
                <w:webHidden/>
              </w:rPr>
              <w:fldChar w:fldCharType="end"/>
            </w:r>
          </w:hyperlink>
        </w:p>
        <w:p w14:paraId="087C358A" w14:textId="1D0D37C1" w:rsidR="00CA71F4" w:rsidRDefault="00CA71F4">
          <w:pPr>
            <w:pStyle w:val="TOC3"/>
            <w:tabs>
              <w:tab w:val="right" w:leader="dot" w:pos="9350"/>
            </w:tabs>
            <w:rPr>
              <w:rFonts w:eastAsiaTheme="minorEastAsia"/>
              <w:noProof/>
              <w:sz w:val="24"/>
              <w:szCs w:val="24"/>
            </w:rPr>
          </w:pPr>
          <w:hyperlink w:anchor="_Toc240119387" w:history="1">
            <w:r w:rsidRPr="00032C88">
              <w:rPr>
                <w:rStyle w:val="Hyperlink"/>
                <w:noProof/>
              </w:rPr>
              <w:t xml:space="preserve">Role of </w:t>
            </w:r>
            <m:oMath>
              <m:r>
                <w:rPr>
                  <w:rStyle w:val="Hyperlink"/>
                  <w:rFonts w:ascii="Cambria Math" w:hAnsi="Cambria Math"/>
                  <w:noProof/>
                </w:rPr>
                <m:t>ξ</m:t>
              </m:r>
            </m:oMath>
            <w:r w:rsidRPr="00032C88">
              <w:rPr>
                <w:rStyle w:val="Hyperlink"/>
                <w:noProof/>
              </w:rPr>
              <w:t xml:space="preserve"> in the Euler-Lagrange step</w:t>
            </w:r>
            <w:r>
              <w:rPr>
                <w:noProof/>
                <w:webHidden/>
              </w:rPr>
              <w:tab/>
            </w:r>
            <w:r>
              <w:rPr>
                <w:noProof/>
                <w:webHidden/>
              </w:rPr>
              <w:fldChar w:fldCharType="begin"/>
            </w:r>
            <w:r>
              <w:rPr>
                <w:noProof/>
                <w:webHidden/>
              </w:rPr>
              <w:instrText xml:space="preserve"> PAGEREF _Toc240119387 \h </w:instrText>
            </w:r>
            <w:r>
              <w:rPr>
                <w:noProof/>
                <w:webHidden/>
              </w:rPr>
            </w:r>
            <w:r>
              <w:rPr>
                <w:noProof/>
                <w:webHidden/>
              </w:rPr>
              <w:fldChar w:fldCharType="separate"/>
            </w:r>
            <w:r w:rsidR="00D13CA4">
              <w:rPr>
                <w:noProof/>
                <w:webHidden/>
              </w:rPr>
              <w:t>15</w:t>
            </w:r>
            <w:r>
              <w:rPr>
                <w:noProof/>
                <w:webHidden/>
              </w:rPr>
              <w:fldChar w:fldCharType="end"/>
            </w:r>
          </w:hyperlink>
        </w:p>
        <w:p w14:paraId="201EB292" w14:textId="4098275F" w:rsidR="00CA71F4" w:rsidRDefault="00CA71F4">
          <w:pPr>
            <w:pStyle w:val="TOC3"/>
            <w:tabs>
              <w:tab w:val="right" w:leader="dot" w:pos="9350"/>
            </w:tabs>
            <w:rPr>
              <w:rFonts w:eastAsiaTheme="minorEastAsia"/>
              <w:noProof/>
              <w:sz w:val="24"/>
              <w:szCs w:val="24"/>
            </w:rPr>
          </w:pPr>
          <w:hyperlink w:anchor="_Toc240119388" w:history="1">
            <w:r w:rsidRPr="00032C88">
              <w:rPr>
                <w:rStyle w:val="Hyperlink"/>
                <w:noProof/>
              </w:rPr>
              <w:t>Single channel : rank-1 causal mean</w:t>
            </w:r>
            <w:r>
              <w:rPr>
                <w:noProof/>
                <w:webHidden/>
              </w:rPr>
              <w:tab/>
            </w:r>
            <w:r>
              <w:rPr>
                <w:noProof/>
                <w:webHidden/>
              </w:rPr>
              <w:fldChar w:fldCharType="begin"/>
            </w:r>
            <w:r>
              <w:rPr>
                <w:noProof/>
                <w:webHidden/>
              </w:rPr>
              <w:instrText xml:space="preserve"> PAGEREF _Toc240119388 \h </w:instrText>
            </w:r>
            <w:r>
              <w:rPr>
                <w:noProof/>
                <w:webHidden/>
              </w:rPr>
            </w:r>
            <w:r>
              <w:rPr>
                <w:noProof/>
                <w:webHidden/>
              </w:rPr>
              <w:fldChar w:fldCharType="separate"/>
            </w:r>
            <w:r w:rsidR="00D13CA4">
              <w:rPr>
                <w:noProof/>
                <w:webHidden/>
              </w:rPr>
              <w:t>15</w:t>
            </w:r>
            <w:r>
              <w:rPr>
                <w:noProof/>
                <w:webHidden/>
              </w:rPr>
              <w:fldChar w:fldCharType="end"/>
            </w:r>
          </w:hyperlink>
        </w:p>
        <w:p w14:paraId="54B550CC" w14:textId="207C5417" w:rsidR="00CA71F4" w:rsidRDefault="00CA71F4">
          <w:pPr>
            <w:pStyle w:val="TOC3"/>
            <w:tabs>
              <w:tab w:val="right" w:leader="dot" w:pos="9350"/>
            </w:tabs>
            <w:rPr>
              <w:rFonts w:eastAsiaTheme="minorEastAsia"/>
              <w:noProof/>
              <w:sz w:val="24"/>
              <w:szCs w:val="24"/>
            </w:rPr>
          </w:pPr>
          <w:hyperlink w:anchor="_Toc240119389" w:history="1">
            <w:r w:rsidRPr="00032C88">
              <w:rPr>
                <w:rStyle w:val="Hyperlink"/>
                <w:noProof/>
              </w:rPr>
              <w:t xml:space="preserve">K-EMA : </w:t>
            </w:r>
            <m:oMath>
              <m:r>
                <w:rPr>
                  <w:rStyle w:val="Hyperlink"/>
                  <w:rFonts w:ascii="Cambria Math" w:hAnsi="Cambria Math"/>
                  <w:noProof/>
                </w:rPr>
                <m:t>K</m:t>
              </m:r>
            </m:oMath>
            <w:r w:rsidRPr="00032C88">
              <w:rPr>
                <w:rStyle w:val="Hyperlink"/>
                <w:noProof/>
              </w:rPr>
              <w:t xml:space="preserve"> causal weighted averages at several horizons</w:t>
            </w:r>
            <w:r>
              <w:rPr>
                <w:noProof/>
                <w:webHidden/>
              </w:rPr>
              <w:tab/>
            </w:r>
            <w:r>
              <w:rPr>
                <w:noProof/>
                <w:webHidden/>
              </w:rPr>
              <w:fldChar w:fldCharType="begin"/>
            </w:r>
            <w:r>
              <w:rPr>
                <w:noProof/>
                <w:webHidden/>
              </w:rPr>
              <w:instrText xml:space="preserve"> PAGEREF _Toc240119389 \h </w:instrText>
            </w:r>
            <w:r>
              <w:rPr>
                <w:noProof/>
                <w:webHidden/>
              </w:rPr>
            </w:r>
            <w:r>
              <w:rPr>
                <w:noProof/>
                <w:webHidden/>
              </w:rPr>
              <w:fldChar w:fldCharType="separate"/>
            </w:r>
            <w:r w:rsidR="00D13CA4">
              <w:rPr>
                <w:noProof/>
                <w:webHidden/>
              </w:rPr>
              <w:t>15</w:t>
            </w:r>
            <w:r>
              <w:rPr>
                <w:noProof/>
                <w:webHidden/>
              </w:rPr>
              <w:fldChar w:fldCharType="end"/>
            </w:r>
          </w:hyperlink>
        </w:p>
        <w:p w14:paraId="4AE98012" w14:textId="50EA36DB" w:rsidR="00CA71F4" w:rsidRDefault="00CA71F4">
          <w:pPr>
            <w:pStyle w:val="TOC2"/>
            <w:tabs>
              <w:tab w:val="right" w:leader="dot" w:pos="9350"/>
            </w:tabs>
            <w:rPr>
              <w:rFonts w:eastAsiaTheme="minorEastAsia"/>
              <w:b w:val="0"/>
              <w:bCs w:val="0"/>
              <w:noProof/>
              <w:sz w:val="24"/>
              <w:szCs w:val="24"/>
            </w:rPr>
          </w:pPr>
          <w:hyperlink w:anchor="_Toc240119390" w:history="1">
            <w:r w:rsidRPr="00032C88">
              <w:rPr>
                <w:rStyle w:val="Hyperlink"/>
                <w:noProof/>
              </w:rPr>
              <w:t xml:space="preserve">Note on the hidden width of the MLP </w:t>
            </w:r>
            <m:oMath>
              <m:r>
                <m:rPr>
                  <m:sty m:val="bi"/>
                </m:rPr>
                <w:rPr>
                  <w:rStyle w:val="Hyperlink"/>
                  <w:rFonts w:ascii="Cambria Math" w:hAnsi="Cambria Math"/>
                  <w:noProof/>
                </w:rPr>
                <m:t>Vθ</m:t>
              </m:r>
            </m:oMath>
            <w:r>
              <w:rPr>
                <w:noProof/>
                <w:webHidden/>
              </w:rPr>
              <w:tab/>
            </w:r>
            <w:r>
              <w:rPr>
                <w:noProof/>
                <w:webHidden/>
              </w:rPr>
              <w:fldChar w:fldCharType="begin"/>
            </w:r>
            <w:r>
              <w:rPr>
                <w:noProof/>
                <w:webHidden/>
              </w:rPr>
              <w:instrText xml:space="preserve"> PAGEREF _Toc240119390 \h </w:instrText>
            </w:r>
            <w:r>
              <w:rPr>
                <w:noProof/>
                <w:webHidden/>
              </w:rPr>
            </w:r>
            <w:r>
              <w:rPr>
                <w:noProof/>
                <w:webHidden/>
              </w:rPr>
              <w:fldChar w:fldCharType="separate"/>
            </w:r>
            <w:r w:rsidR="00D13CA4">
              <w:rPr>
                <w:noProof/>
                <w:webHidden/>
              </w:rPr>
              <w:t>16</w:t>
            </w:r>
            <w:r>
              <w:rPr>
                <w:noProof/>
                <w:webHidden/>
              </w:rPr>
              <w:fldChar w:fldCharType="end"/>
            </w:r>
          </w:hyperlink>
        </w:p>
        <w:p w14:paraId="7AE303D5" w14:textId="7E78987B" w:rsidR="00CA71F4" w:rsidRDefault="00CA71F4">
          <w:pPr>
            <w:pStyle w:val="TOC3"/>
            <w:tabs>
              <w:tab w:val="right" w:leader="dot" w:pos="9350"/>
            </w:tabs>
            <w:rPr>
              <w:rFonts w:eastAsiaTheme="minorEastAsia"/>
              <w:noProof/>
              <w:sz w:val="24"/>
              <w:szCs w:val="24"/>
            </w:rPr>
          </w:pPr>
          <w:hyperlink w:anchor="_Toc240119391" w:history="1">
            <w:r w:rsidRPr="00032C88">
              <w:rPr>
                <w:rStyle w:val="Hyperlink"/>
                <w:noProof/>
              </w:rPr>
              <w:t xml:space="preserve">How MLP </w:t>
            </w:r>
            <m:oMath>
              <m:r>
                <w:rPr>
                  <w:rStyle w:val="Hyperlink"/>
                  <w:rFonts w:ascii="Cambria Math" w:hAnsi="Cambria Math"/>
                  <w:noProof/>
                </w:rPr>
                <m:t>Vθ</m:t>
              </m:r>
            </m:oMath>
            <w:r w:rsidRPr="00032C88">
              <w:rPr>
                <w:rStyle w:val="Hyperlink"/>
                <w:noProof/>
              </w:rPr>
              <w:t xml:space="preserve"> consumes the bank of context channels </w:t>
            </w:r>
            <m:oMath>
              <m:r>
                <w:rPr>
                  <w:rStyle w:val="Hyperlink"/>
                  <w:rFonts w:ascii="Cambria Math" w:hAnsi="Cambria Math"/>
                  <w:noProof/>
                </w:rPr>
                <m:t>ξtk</m:t>
              </m:r>
            </m:oMath>
            <w:r>
              <w:rPr>
                <w:noProof/>
                <w:webHidden/>
              </w:rPr>
              <w:tab/>
            </w:r>
            <w:r>
              <w:rPr>
                <w:noProof/>
                <w:webHidden/>
              </w:rPr>
              <w:fldChar w:fldCharType="begin"/>
            </w:r>
            <w:r>
              <w:rPr>
                <w:noProof/>
                <w:webHidden/>
              </w:rPr>
              <w:instrText xml:space="preserve"> PAGEREF _Toc240119391 \h </w:instrText>
            </w:r>
            <w:r>
              <w:rPr>
                <w:noProof/>
                <w:webHidden/>
              </w:rPr>
            </w:r>
            <w:r>
              <w:rPr>
                <w:noProof/>
                <w:webHidden/>
              </w:rPr>
              <w:fldChar w:fldCharType="separate"/>
            </w:r>
            <w:r w:rsidR="00D13CA4">
              <w:rPr>
                <w:noProof/>
                <w:webHidden/>
              </w:rPr>
              <w:t>17</w:t>
            </w:r>
            <w:r>
              <w:rPr>
                <w:noProof/>
                <w:webHidden/>
              </w:rPr>
              <w:fldChar w:fldCharType="end"/>
            </w:r>
          </w:hyperlink>
        </w:p>
        <w:p w14:paraId="721705A7" w14:textId="5CACE605" w:rsidR="00CA71F4" w:rsidRDefault="00CA71F4">
          <w:pPr>
            <w:pStyle w:val="TOC2"/>
            <w:tabs>
              <w:tab w:val="right" w:leader="dot" w:pos="9350"/>
            </w:tabs>
            <w:rPr>
              <w:rFonts w:eastAsiaTheme="minorEastAsia"/>
              <w:b w:val="0"/>
              <w:bCs w:val="0"/>
              <w:noProof/>
              <w:sz w:val="24"/>
              <w:szCs w:val="24"/>
            </w:rPr>
          </w:pPr>
          <w:hyperlink w:anchor="_Toc240119392" w:history="1">
            <w:r w:rsidRPr="00032C88">
              <w:rPr>
                <w:rStyle w:val="Hyperlink"/>
                <w:noProof/>
              </w:rPr>
              <w:t xml:space="preserve">Structured and Gaussian </w:t>
            </w:r>
            <m:oMath>
              <m:r>
                <m:rPr>
                  <m:sty m:val="bi"/>
                </m:rPr>
                <w:rPr>
                  <w:rStyle w:val="Hyperlink"/>
                  <w:rFonts w:ascii="Cambria Math" w:hAnsi="Cambria Math"/>
                  <w:noProof/>
                </w:rPr>
                <m:t>Vθ</m:t>
              </m:r>
            </m:oMath>
            <w:r w:rsidRPr="00032C88">
              <w:rPr>
                <w:rStyle w:val="Hyperlink"/>
                <w:noProof/>
              </w:rPr>
              <w:t xml:space="preserve"> : flatten, then project</w:t>
            </w:r>
            <w:r>
              <w:rPr>
                <w:noProof/>
                <w:webHidden/>
              </w:rPr>
              <w:tab/>
            </w:r>
            <w:r>
              <w:rPr>
                <w:noProof/>
                <w:webHidden/>
              </w:rPr>
              <w:fldChar w:fldCharType="begin"/>
            </w:r>
            <w:r>
              <w:rPr>
                <w:noProof/>
                <w:webHidden/>
              </w:rPr>
              <w:instrText xml:space="preserve"> PAGEREF _Toc240119392 \h </w:instrText>
            </w:r>
            <w:r>
              <w:rPr>
                <w:noProof/>
                <w:webHidden/>
              </w:rPr>
            </w:r>
            <w:r>
              <w:rPr>
                <w:noProof/>
                <w:webHidden/>
              </w:rPr>
              <w:fldChar w:fldCharType="separate"/>
            </w:r>
            <w:r w:rsidR="00D13CA4">
              <w:rPr>
                <w:noProof/>
                <w:webHidden/>
              </w:rPr>
              <w:t>17</w:t>
            </w:r>
            <w:r>
              <w:rPr>
                <w:noProof/>
                <w:webHidden/>
              </w:rPr>
              <w:fldChar w:fldCharType="end"/>
            </w:r>
          </w:hyperlink>
        </w:p>
        <w:p w14:paraId="7840BA7F" w14:textId="7B3DBCF4" w:rsidR="00CA71F4" w:rsidRDefault="00CA71F4">
          <w:pPr>
            <w:pStyle w:val="TOC3"/>
            <w:tabs>
              <w:tab w:val="right" w:leader="dot" w:pos="9350"/>
            </w:tabs>
            <w:rPr>
              <w:rFonts w:eastAsiaTheme="minorEastAsia"/>
              <w:noProof/>
              <w:sz w:val="24"/>
              <w:szCs w:val="24"/>
            </w:rPr>
          </w:pPr>
          <w:hyperlink w:anchor="_Toc240119393" w:history="1">
            <w:r w:rsidRPr="00032C88">
              <w:rPr>
                <w:rStyle w:val="Hyperlink"/>
                <w:noProof/>
              </w:rPr>
              <w:t xml:space="preserve">Note on structured </w:t>
            </w:r>
            <m:oMath>
              <m:r>
                <w:rPr>
                  <w:rStyle w:val="Hyperlink"/>
                  <w:rFonts w:ascii="Cambria Math" w:hAnsi="Cambria Math"/>
                  <w:noProof/>
                </w:rPr>
                <m:t>Vθ</m:t>
              </m:r>
            </m:oMath>
            <w:r w:rsidRPr="00032C88">
              <w:rPr>
                <w:rStyle w:val="Hyperlink"/>
                <w:noProof/>
              </w:rPr>
              <w:t xml:space="preserve"> : Well Banks, Well Centres, Well Precisions, Well Mixture weights and their projections</w:t>
            </w:r>
            <w:r>
              <w:rPr>
                <w:noProof/>
                <w:webHidden/>
              </w:rPr>
              <w:tab/>
            </w:r>
            <w:r>
              <w:rPr>
                <w:noProof/>
                <w:webHidden/>
              </w:rPr>
              <w:fldChar w:fldCharType="begin"/>
            </w:r>
            <w:r>
              <w:rPr>
                <w:noProof/>
                <w:webHidden/>
              </w:rPr>
              <w:instrText xml:space="preserve"> PAGEREF _Toc240119393 \h </w:instrText>
            </w:r>
            <w:r>
              <w:rPr>
                <w:noProof/>
                <w:webHidden/>
              </w:rPr>
            </w:r>
            <w:r>
              <w:rPr>
                <w:noProof/>
                <w:webHidden/>
              </w:rPr>
              <w:fldChar w:fldCharType="separate"/>
            </w:r>
            <w:r w:rsidR="00D13CA4">
              <w:rPr>
                <w:noProof/>
                <w:webHidden/>
              </w:rPr>
              <w:t>18</w:t>
            </w:r>
            <w:r>
              <w:rPr>
                <w:noProof/>
                <w:webHidden/>
              </w:rPr>
              <w:fldChar w:fldCharType="end"/>
            </w:r>
          </w:hyperlink>
        </w:p>
        <w:p w14:paraId="663F8A74" w14:textId="71CAA81C" w:rsidR="00CA71F4" w:rsidRDefault="00CA71F4">
          <w:pPr>
            <w:pStyle w:val="TOC3"/>
            <w:tabs>
              <w:tab w:val="right" w:leader="dot" w:pos="9350"/>
            </w:tabs>
            <w:rPr>
              <w:rFonts w:eastAsiaTheme="minorEastAsia"/>
              <w:noProof/>
              <w:sz w:val="24"/>
              <w:szCs w:val="24"/>
            </w:rPr>
          </w:pPr>
          <w:hyperlink w:anchor="_Toc240119394" w:history="1">
            <w:r w:rsidRPr="00032C88">
              <w:rPr>
                <w:rStyle w:val="Hyperlink"/>
                <w:noProof/>
              </w:rPr>
              <w:t>Does the anisotropic Gaussian benefit beyond 4 Channels?</w:t>
            </w:r>
            <w:r>
              <w:rPr>
                <w:noProof/>
                <w:webHidden/>
              </w:rPr>
              <w:tab/>
            </w:r>
            <w:r>
              <w:rPr>
                <w:noProof/>
                <w:webHidden/>
              </w:rPr>
              <w:fldChar w:fldCharType="begin"/>
            </w:r>
            <w:r>
              <w:rPr>
                <w:noProof/>
                <w:webHidden/>
              </w:rPr>
              <w:instrText xml:space="preserve"> PAGEREF _Toc240119394 \h </w:instrText>
            </w:r>
            <w:r>
              <w:rPr>
                <w:noProof/>
                <w:webHidden/>
              </w:rPr>
            </w:r>
            <w:r>
              <w:rPr>
                <w:noProof/>
                <w:webHidden/>
              </w:rPr>
              <w:fldChar w:fldCharType="separate"/>
            </w:r>
            <w:r w:rsidR="00D13CA4">
              <w:rPr>
                <w:noProof/>
                <w:webHidden/>
              </w:rPr>
              <w:t>21</w:t>
            </w:r>
            <w:r>
              <w:rPr>
                <w:noProof/>
                <w:webHidden/>
              </w:rPr>
              <w:fldChar w:fldCharType="end"/>
            </w:r>
          </w:hyperlink>
        </w:p>
        <w:p w14:paraId="2EAF68C5" w14:textId="4C39E334" w:rsidR="00CA71F4" w:rsidRDefault="00CA71F4">
          <w:pPr>
            <w:pStyle w:val="TOC3"/>
            <w:tabs>
              <w:tab w:val="right" w:leader="dot" w:pos="9350"/>
            </w:tabs>
            <w:rPr>
              <w:rFonts w:eastAsiaTheme="minorEastAsia"/>
              <w:noProof/>
              <w:sz w:val="24"/>
              <w:szCs w:val="24"/>
            </w:rPr>
          </w:pPr>
          <w:hyperlink w:anchor="_Toc240119395" w:history="1">
            <w:r w:rsidRPr="00032C88">
              <w:rPr>
                <w:rStyle w:val="Hyperlink"/>
                <w:noProof/>
              </w:rPr>
              <w:t>Can we do something better than flattening?</w:t>
            </w:r>
            <w:r>
              <w:rPr>
                <w:noProof/>
                <w:webHidden/>
              </w:rPr>
              <w:tab/>
            </w:r>
            <w:r>
              <w:rPr>
                <w:noProof/>
                <w:webHidden/>
              </w:rPr>
              <w:fldChar w:fldCharType="begin"/>
            </w:r>
            <w:r>
              <w:rPr>
                <w:noProof/>
                <w:webHidden/>
              </w:rPr>
              <w:instrText xml:space="preserve"> PAGEREF _Toc240119395 \h </w:instrText>
            </w:r>
            <w:r>
              <w:rPr>
                <w:noProof/>
                <w:webHidden/>
              </w:rPr>
            </w:r>
            <w:r>
              <w:rPr>
                <w:noProof/>
                <w:webHidden/>
              </w:rPr>
              <w:fldChar w:fldCharType="separate"/>
            </w:r>
            <w:r w:rsidR="00D13CA4">
              <w:rPr>
                <w:noProof/>
                <w:webHidden/>
              </w:rPr>
              <w:t>21</w:t>
            </w:r>
            <w:r>
              <w:rPr>
                <w:noProof/>
                <w:webHidden/>
              </w:rPr>
              <w:fldChar w:fldCharType="end"/>
            </w:r>
          </w:hyperlink>
        </w:p>
        <w:p w14:paraId="1A53253C" w14:textId="77A2A8BA" w:rsidR="00CA71F4" w:rsidRDefault="00CA71F4">
          <w:pPr>
            <w:pStyle w:val="TOC2"/>
            <w:tabs>
              <w:tab w:val="right" w:leader="dot" w:pos="9350"/>
            </w:tabs>
            <w:rPr>
              <w:rFonts w:eastAsiaTheme="minorEastAsia"/>
              <w:b w:val="0"/>
              <w:bCs w:val="0"/>
              <w:noProof/>
              <w:sz w:val="24"/>
              <w:szCs w:val="24"/>
            </w:rPr>
          </w:pPr>
          <w:hyperlink w:anchor="_Toc240119396" w:history="1">
            <w:r w:rsidRPr="00032C88">
              <w:rPr>
                <w:rStyle w:val="Hyperlink"/>
                <w:noProof/>
              </w:rPr>
              <w:t>Depth conditioning and context banks in structured V theta</w:t>
            </w:r>
            <w:r>
              <w:rPr>
                <w:noProof/>
                <w:webHidden/>
              </w:rPr>
              <w:tab/>
            </w:r>
            <w:r>
              <w:rPr>
                <w:noProof/>
                <w:webHidden/>
              </w:rPr>
              <w:fldChar w:fldCharType="begin"/>
            </w:r>
            <w:r>
              <w:rPr>
                <w:noProof/>
                <w:webHidden/>
              </w:rPr>
              <w:instrText xml:space="preserve"> PAGEREF _Toc240119396 \h </w:instrText>
            </w:r>
            <w:r>
              <w:rPr>
                <w:noProof/>
                <w:webHidden/>
              </w:rPr>
            </w:r>
            <w:r>
              <w:rPr>
                <w:noProof/>
                <w:webHidden/>
              </w:rPr>
              <w:fldChar w:fldCharType="separate"/>
            </w:r>
            <w:r w:rsidR="00D13CA4">
              <w:rPr>
                <w:noProof/>
                <w:webHidden/>
              </w:rPr>
              <w:t>22</w:t>
            </w:r>
            <w:r>
              <w:rPr>
                <w:noProof/>
                <w:webHidden/>
              </w:rPr>
              <w:fldChar w:fldCharType="end"/>
            </w:r>
          </w:hyperlink>
        </w:p>
        <w:p w14:paraId="02C83635" w14:textId="67DB3D17" w:rsidR="00CA71F4" w:rsidRDefault="00CA71F4">
          <w:pPr>
            <w:pStyle w:val="TOC3"/>
            <w:tabs>
              <w:tab w:val="right" w:leader="dot" w:pos="9350"/>
            </w:tabs>
            <w:rPr>
              <w:rFonts w:eastAsiaTheme="minorEastAsia"/>
              <w:noProof/>
              <w:sz w:val="24"/>
              <w:szCs w:val="24"/>
            </w:rPr>
          </w:pPr>
          <w:hyperlink w:anchor="_Toc240119397" w:history="1">
            <w:r w:rsidRPr="00032C88">
              <w:rPr>
                <w:rStyle w:val="Hyperlink"/>
                <w:noProof/>
              </w:rPr>
              <w:t>Context banks</w:t>
            </w:r>
            <w:r>
              <w:rPr>
                <w:noProof/>
                <w:webHidden/>
              </w:rPr>
              <w:tab/>
            </w:r>
            <w:r>
              <w:rPr>
                <w:noProof/>
                <w:webHidden/>
              </w:rPr>
              <w:fldChar w:fldCharType="begin"/>
            </w:r>
            <w:r>
              <w:rPr>
                <w:noProof/>
                <w:webHidden/>
              </w:rPr>
              <w:instrText xml:space="preserve"> PAGEREF _Toc240119397 \h </w:instrText>
            </w:r>
            <w:r>
              <w:rPr>
                <w:noProof/>
                <w:webHidden/>
              </w:rPr>
            </w:r>
            <w:r>
              <w:rPr>
                <w:noProof/>
                <w:webHidden/>
              </w:rPr>
              <w:fldChar w:fldCharType="separate"/>
            </w:r>
            <w:r w:rsidR="00D13CA4">
              <w:rPr>
                <w:noProof/>
                <w:webHidden/>
              </w:rPr>
              <w:t>22</w:t>
            </w:r>
            <w:r>
              <w:rPr>
                <w:noProof/>
                <w:webHidden/>
              </w:rPr>
              <w:fldChar w:fldCharType="end"/>
            </w:r>
          </w:hyperlink>
        </w:p>
        <w:p w14:paraId="55D446B3" w14:textId="47E95483" w:rsidR="00CA71F4" w:rsidRDefault="00CA71F4">
          <w:pPr>
            <w:pStyle w:val="TOC3"/>
            <w:tabs>
              <w:tab w:val="right" w:leader="dot" w:pos="9350"/>
            </w:tabs>
            <w:rPr>
              <w:rFonts w:eastAsiaTheme="minorEastAsia"/>
              <w:noProof/>
              <w:sz w:val="24"/>
              <w:szCs w:val="24"/>
            </w:rPr>
          </w:pPr>
          <w:hyperlink w:anchor="_Toc240119398" w:history="1">
            <w:r w:rsidRPr="00032C88">
              <w:rPr>
                <w:rStyle w:val="Hyperlink"/>
                <w:noProof/>
              </w:rPr>
              <w:t>Depth codes as a per-layer shift</w:t>
            </w:r>
            <w:r>
              <w:rPr>
                <w:noProof/>
                <w:webHidden/>
              </w:rPr>
              <w:tab/>
            </w:r>
            <w:r>
              <w:rPr>
                <w:noProof/>
                <w:webHidden/>
              </w:rPr>
              <w:fldChar w:fldCharType="begin"/>
            </w:r>
            <w:r>
              <w:rPr>
                <w:noProof/>
                <w:webHidden/>
              </w:rPr>
              <w:instrText xml:space="preserve"> PAGEREF _Toc240119398 \h </w:instrText>
            </w:r>
            <w:r>
              <w:rPr>
                <w:noProof/>
                <w:webHidden/>
              </w:rPr>
            </w:r>
            <w:r>
              <w:rPr>
                <w:noProof/>
                <w:webHidden/>
              </w:rPr>
              <w:fldChar w:fldCharType="separate"/>
            </w:r>
            <w:r w:rsidR="00D13CA4">
              <w:rPr>
                <w:noProof/>
                <w:webHidden/>
              </w:rPr>
              <w:t>22</w:t>
            </w:r>
            <w:r>
              <w:rPr>
                <w:noProof/>
                <w:webHidden/>
              </w:rPr>
              <w:fldChar w:fldCharType="end"/>
            </w:r>
          </w:hyperlink>
        </w:p>
        <w:p w14:paraId="4BA92AC1" w14:textId="300C31FC" w:rsidR="00CA71F4" w:rsidRDefault="00CA71F4">
          <w:pPr>
            <w:pStyle w:val="TOC3"/>
            <w:tabs>
              <w:tab w:val="right" w:leader="dot" w:pos="9350"/>
            </w:tabs>
            <w:rPr>
              <w:rFonts w:eastAsiaTheme="minorEastAsia"/>
              <w:noProof/>
              <w:sz w:val="24"/>
              <w:szCs w:val="24"/>
            </w:rPr>
          </w:pPr>
          <w:hyperlink w:anchor="_Toc240119399" w:history="1">
            <w:r w:rsidRPr="00032C88">
              <w:rPr>
                <w:rStyle w:val="Hyperlink"/>
                <w:noProof/>
              </w:rPr>
              <w:t>Where the forty wells sit before training</w:t>
            </w:r>
            <w:r>
              <w:rPr>
                <w:noProof/>
                <w:webHidden/>
              </w:rPr>
              <w:tab/>
            </w:r>
            <w:r>
              <w:rPr>
                <w:noProof/>
                <w:webHidden/>
              </w:rPr>
              <w:fldChar w:fldCharType="begin"/>
            </w:r>
            <w:r>
              <w:rPr>
                <w:noProof/>
                <w:webHidden/>
              </w:rPr>
              <w:instrText xml:space="preserve"> PAGEREF _Toc240119399 \h </w:instrText>
            </w:r>
            <w:r>
              <w:rPr>
                <w:noProof/>
                <w:webHidden/>
              </w:rPr>
            </w:r>
            <w:r>
              <w:rPr>
                <w:noProof/>
                <w:webHidden/>
              </w:rPr>
              <w:fldChar w:fldCharType="separate"/>
            </w:r>
            <w:r w:rsidR="00D13CA4">
              <w:rPr>
                <w:noProof/>
                <w:webHidden/>
              </w:rPr>
              <w:t>22</w:t>
            </w:r>
            <w:r>
              <w:rPr>
                <w:noProof/>
                <w:webHidden/>
              </w:rPr>
              <w:fldChar w:fldCharType="end"/>
            </w:r>
          </w:hyperlink>
        </w:p>
        <w:p w14:paraId="33DA03E8" w14:textId="45D768CE" w:rsidR="00CA71F4" w:rsidRDefault="00CA71F4">
          <w:pPr>
            <w:pStyle w:val="TOC2"/>
            <w:tabs>
              <w:tab w:val="right" w:leader="dot" w:pos="9350"/>
            </w:tabs>
            <w:rPr>
              <w:rFonts w:eastAsiaTheme="minorEastAsia"/>
              <w:b w:val="0"/>
              <w:bCs w:val="0"/>
              <w:noProof/>
              <w:sz w:val="24"/>
              <w:szCs w:val="24"/>
            </w:rPr>
          </w:pPr>
          <w:hyperlink w:anchor="_Toc240119400" w:history="1">
            <w:r w:rsidRPr="00032C88">
              <w:rPr>
                <w:rStyle w:val="Hyperlink"/>
                <w:noProof/>
              </w:rPr>
              <w:t>Analytic Multi-Channel Integration: a Ladder of Couplings</w:t>
            </w:r>
            <w:r>
              <w:rPr>
                <w:noProof/>
                <w:webHidden/>
              </w:rPr>
              <w:tab/>
            </w:r>
            <w:r>
              <w:rPr>
                <w:noProof/>
                <w:webHidden/>
              </w:rPr>
              <w:fldChar w:fldCharType="begin"/>
            </w:r>
            <w:r>
              <w:rPr>
                <w:noProof/>
                <w:webHidden/>
              </w:rPr>
              <w:instrText xml:space="preserve"> PAGEREF _Toc240119400 \h </w:instrText>
            </w:r>
            <w:r>
              <w:rPr>
                <w:noProof/>
                <w:webHidden/>
              </w:rPr>
            </w:r>
            <w:r>
              <w:rPr>
                <w:noProof/>
                <w:webHidden/>
              </w:rPr>
              <w:fldChar w:fldCharType="separate"/>
            </w:r>
            <w:r w:rsidR="00D13CA4">
              <w:rPr>
                <w:noProof/>
                <w:webHidden/>
              </w:rPr>
              <w:t>23</w:t>
            </w:r>
            <w:r>
              <w:rPr>
                <w:noProof/>
                <w:webHidden/>
              </w:rPr>
              <w:fldChar w:fldCharType="end"/>
            </w:r>
          </w:hyperlink>
        </w:p>
        <w:p w14:paraId="4DD4B44C" w14:textId="6C8C26AA" w:rsidR="00CA71F4" w:rsidRDefault="00CA71F4">
          <w:pPr>
            <w:pStyle w:val="TOC3"/>
            <w:tabs>
              <w:tab w:val="right" w:leader="dot" w:pos="9350"/>
            </w:tabs>
            <w:rPr>
              <w:rFonts w:eastAsiaTheme="minorEastAsia"/>
              <w:noProof/>
              <w:sz w:val="24"/>
              <w:szCs w:val="24"/>
            </w:rPr>
          </w:pPr>
          <w:hyperlink w:anchor="_Toc240119401" w:history="1">
            <w:r w:rsidRPr="00032C88">
              <w:rPr>
                <w:rStyle w:val="Hyperlink"/>
                <w:noProof/>
              </w:rPr>
              <w:t>The analyticity hinge</w:t>
            </w:r>
            <w:r>
              <w:rPr>
                <w:noProof/>
                <w:webHidden/>
              </w:rPr>
              <w:tab/>
            </w:r>
            <w:r>
              <w:rPr>
                <w:noProof/>
                <w:webHidden/>
              </w:rPr>
              <w:fldChar w:fldCharType="begin"/>
            </w:r>
            <w:r>
              <w:rPr>
                <w:noProof/>
                <w:webHidden/>
              </w:rPr>
              <w:instrText xml:space="preserve"> PAGEREF _Toc240119401 \h </w:instrText>
            </w:r>
            <w:r>
              <w:rPr>
                <w:noProof/>
                <w:webHidden/>
              </w:rPr>
            </w:r>
            <w:r>
              <w:rPr>
                <w:noProof/>
                <w:webHidden/>
              </w:rPr>
              <w:fldChar w:fldCharType="separate"/>
            </w:r>
            <w:r w:rsidR="00D13CA4">
              <w:rPr>
                <w:noProof/>
                <w:webHidden/>
              </w:rPr>
              <w:t>23</w:t>
            </w:r>
            <w:r>
              <w:rPr>
                <w:noProof/>
                <w:webHidden/>
              </w:rPr>
              <w:fldChar w:fldCharType="end"/>
            </w:r>
          </w:hyperlink>
        </w:p>
        <w:p w14:paraId="7415995A" w14:textId="38D50A27" w:rsidR="00CA71F4" w:rsidRDefault="00CA71F4">
          <w:pPr>
            <w:pStyle w:val="TOC3"/>
            <w:tabs>
              <w:tab w:val="right" w:leader="dot" w:pos="9350"/>
            </w:tabs>
            <w:rPr>
              <w:rFonts w:eastAsiaTheme="minorEastAsia"/>
              <w:noProof/>
              <w:sz w:val="24"/>
              <w:szCs w:val="24"/>
            </w:rPr>
          </w:pPr>
          <w:hyperlink w:anchor="_Toc240119402" w:history="1">
            <w:r w:rsidRPr="00032C88">
              <w:rPr>
                <w:rStyle w:val="Hyperlink"/>
                <w:noProof/>
              </w:rPr>
              <w:t>Product-of-experts fusion in closed form</w:t>
            </w:r>
            <w:r>
              <w:rPr>
                <w:noProof/>
                <w:webHidden/>
              </w:rPr>
              <w:tab/>
            </w:r>
            <w:r>
              <w:rPr>
                <w:noProof/>
                <w:webHidden/>
              </w:rPr>
              <w:fldChar w:fldCharType="begin"/>
            </w:r>
            <w:r>
              <w:rPr>
                <w:noProof/>
                <w:webHidden/>
              </w:rPr>
              <w:instrText xml:space="preserve"> PAGEREF _Toc240119402 \h </w:instrText>
            </w:r>
            <w:r>
              <w:rPr>
                <w:noProof/>
                <w:webHidden/>
              </w:rPr>
            </w:r>
            <w:r>
              <w:rPr>
                <w:noProof/>
                <w:webHidden/>
              </w:rPr>
              <w:fldChar w:fldCharType="separate"/>
            </w:r>
            <w:r w:rsidR="00D13CA4">
              <w:rPr>
                <w:noProof/>
                <w:webHidden/>
              </w:rPr>
              <w:t>24</w:t>
            </w:r>
            <w:r>
              <w:rPr>
                <w:noProof/>
                <w:webHidden/>
              </w:rPr>
              <w:fldChar w:fldCharType="end"/>
            </w:r>
          </w:hyperlink>
        </w:p>
        <w:p w14:paraId="7BA9186A" w14:textId="11FC6428" w:rsidR="00CA71F4" w:rsidRDefault="00CA71F4">
          <w:pPr>
            <w:pStyle w:val="TOC3"/>
            <w:tabs>
              <w:tab w:val="right" w:leader="dot" w:pos="9350"/>
            </w:tabs>
            <w:rPr>
              <w:rFonts w:eastAsiaTheme="minorEastAsia"/>
              <w:noProof/>
              <w:sz w:val="24"/>
              <w:szCs w:val="24"/>
            </w:rPr>
          </w:pPr>
          <w:hyperlink w:anchor="_Toc240119403" w:history="1">
            <w:r w:rsidRPr="00032C88">
              <w:rPr>
                <w:rStyle w:val="Hyperlink"/>
                <w:noProof/>
              </w:rPr>
              <w:t>The catch: fusion concentrates curvature</w:t>
            </w:r>
            <w:r>
              <w:rPr>
                <w:noProof/>
                <w:webHidden/>
              </w:rPr>
              <w:tab/>
            </w:r>
            <w:r>
              <w:rPr>
                <w:noProof/>
                <w:webHidden/>
              </w:rPr>
              <w:fldChar w:fldCharType="begin"/>
            </w:r>
            <w:r>
              <w:rPr>
                <w:noProof/>
                <w:webHidden/>
              </w:rPr>
              <w:instrText xml:space="preserve"> PAGEREF _Toc240119403 \h </w:instrText>
            </w:r>
            <w:r>
              <w:rPr>
                <w:noProof/>
                <w:webHidden/>
              </w:rPr>
            </w:r>
            <w:r>
              <w:rPr>
                <w:noProof/>
                <w:webHidden/>
              </w:rPr>
              <w:fldChar w:fldCharType="separate"/>
            </w:r>
            <w:r w:rsidR="00D13CA4">
              <w:rPr>
                <w:noProof/>
                <w:webHidden/>
              </w:rPr>
              <w:t>24</w:t>
            </w:r>
            <w:r>
              <w:rPr>
                <w:noProof/>
                <w:webHidden/>
              </w:rPr>
              <w:fldChar w:fldCharType="end"/>
            </w:r>
          </w:hyperlink>
        </w:p>
        <w:p w14:paraId="211A8B21" w14:textId="4867AAB8" w:rsidR="00CA71F4" w:rsidRDefault="00CA71F4">
          <w:pPr>
            <w:pStyle w:val="TOC3"/>
            <w:tabs>
              <w:tab w:val="right" w:leader="dot" w:pos="9350"/>
            </w:tabs>
            <w:rPr>
              <w:rFonts w:eastAsiaTheme="minorEastAsia"/>
              <w:noProof/>
              <w:sz w:val="24"/>
              <w:szCs w:val="24"/>
            </w:rPr>
          </w:pPr>
          <w:hyperlink w:anchor="_Toc240119404" w:history="1">
            <w:r w:rsidRPr="00032C88">
              <w:rPr>
                <w:rStyle w:val="Hyperlink"/>
                <w:noProof/>
              </w:rPr>
              <w:t>The harmonic split stays valid</w:t>
            </w:r>
            <w:r>
              <w:rPr>
                <w:noProof/>
                <w:webHidden/>
              </w:rPr>
              <w:tab/>
            </w:r>
            <w:r>
              <w:rPr>
                <w:noProof/>
                <w:webHidden/>
              </w:rPr>
              <w:fldChar w:fldCharType="begin"/>
            </w:r>
            <w:r>
              <w:rPr>
                <w:noProof/>
                <w:webHidden/>
              </w:rPr>
              <w:instrText xml:space="preserve"> PAGEREF _Toc240119404 \h </w:instrText>
            </w:r>
            <w:r>
              <w:rPr>
                <w:noProof/>
                <w:webHidden/>
              </w:rPr>
            </w:r>
            <w:r>
              <w:rPr>
                <w:noProof/>
                <w:webHidden/>
              </w:rPr>
              <w:fldChar w:fldCharType="separate"/>
            </w:r>
            <w:r w:rsidR="00D13CA4">
              <w:rPr>
                <w:noProof/>
                <w:webHidden/>
              </w:rPr>
              <w:t>24</w:t>
            </w:r>
            <w:r>
              <w:rPr>
                <w:noProof/>
                <w:webHidden/>
              </w:rPr>
              <w:fldChar w:fldCharType="end"/>
            </w:r>
          </w:hyperlink>
        </w:p>
        <w:p w14:paraId="125824C4" w14:textId="2E6BFC47" w:rsidR="00CA71F4" w:rsidRDefault="00CA71F4">
          <w:pPr>
            <w:pStyle w:val="TOC3"/>
            <w:tabs>
              <w:tab w:val="right" w:leader="dot" w:pos="9350"/>
            </w:tabs>
            <w:rPr>
              <w:rFonts w:eastAsiaTheme="minorEastAsia"/>
              <w:noProof/>
              <w:sz w:val="24"/>
              <w:szCs w:val="24"/>
            </w:rPr>
          </w:pPr>
          <w:hyperlink w:anchor="_Toc240119405" w:history="1">
            <w:r w:rsidRPr="00032C88">
              <w:rPr>
                <w:rStyle w:val="Hyperlink"/>
                <w:noProof/>
              </w:rPr>
              <w:t>The prototype: JointContextAnisotropicGaussianVTheta</w:t>
            </w:r>
            <w:r>
              <w:rPr>
                <w:noProof/>
                <w:webHidden/>
              </w:rPr>
              <w:tab/>
            </w:r>
            <w:r>
              <w:rPr>
                <w:noProof/>
                <w:webHidden/>
              </w:rPr>
              <w:fldChar w:fldCharType="begin"/>
            </w:r>
            <w:r>
              <w:rPr>
                <w:noProof/>
                <w:webHidden/>
              </w:rPr>
              <w:instrText xml:space="preserve"> PAGEREF _Toc240119405 \h </w:instrText>
            </w:r>
            <w:r>
              <w:rPr>
                <w:noProof/>
                <w:webHidden/>
              </w:rPr>
            </w:r>
            <w:r>
              <w:rPr>
                <w:noProof/>
                <w:webHidden/>
              </w:rPr>
              <w:fldChar w:fldCharType="separate"/>
            </w:r>
            <w:r w:rsidR="00D13CA4">
              <w:rPr>
                <w:noProof/>
                <w:webHidden/>
              </w:rPr>
              <w:t>25</w:t>
            </w:r>
            <w:r>
              <w:rPr>
                <w:noProof/>
                <w:webHidden/>
              </w:rPr>
              <w:fldChar w:fldCharType="end"/>
            </w:r>
          </w:hyperlink>
        </w:p>
        <w:p w14:paraId="5A873A62" w14:textId="1BD762A4" w:rsidR="00CA71F4" w:rsidRDefault="00CA71F4">
          <w:pPr>
            <w:pStyle w:val="TOC3"/>
            <w:tabs>
              <w:tab w:val="right" w:leader="dot" w:pos="9350"/>
            </w:tabs>
            <w:rPr>
              <w:rFonts w:eastAsiaTheme="minorEastAsia"/>
              <w:noProof/>
              <w:sz w:val="24"/>
              <w:szCs w:val="24"/>
            </w:rPr>
          </w:pPr>
          <w:hyperlink w:anchor="_Toc240119406" w:history="1">
            <w:r w:rsidRPr="00032C88">
              <w:rPr>
                <w:rStyle w:val="Hyperlink"/>
                <w:noProof/>
              </w:rPr>
              <w:t>What this predicts, and how to test it</w:t>
            </w:r>
            <w:r>
              <w:rPr>
                <w:noProof/>
                <w:webHidden/>
              </w:rPr>
              <w:tab/>
            </w:r>
            <w:r>
              <w:rPr>
                <w:noProof/>
                <w:webHidden/>
              </w:rPr>
              <w:fldChar w:fldCharType="begin"/>
            </w:r>
            <w:r>
              <w:rPr>
                <w:noProof/>
                <w:webHidden/>
              </w:rPr>
              <w:instrText xml:space="preserve"> PAGEREF _Toc240119406 \h </w:instrText>
            </w:r>
            <w:r>
              <w:rPr>
                <w:noProof/>
                <w:webHidden/>
              </w:rPr>
            </w:r>
            <w:r>
              <w:rPr>
                <w:noProof/>
                <w:webHidden/>
              </w:rPr>
              <w:fldChar w:fldCharType="separate"/>
            </w:r>
            <w:r w:rsidR="00D13CA4">
              <w:rPr>
                <w:noProof/>
                <w:webHidden/>
              </w:rPr>
              <w:t>25</w:t>
            </w:r>
            <w:r>
              <w:rPr>
                <w:noProof/>
                <w:webHidden/>
              </w:rPr>
              <w:fldChar w:fldCharType="end"/>
            </w:r>
          </w:hyperlink>
        </w:p>
        <w:p w14:paraId="10D7B0E0" w14:textId="0250F172" w:rsidR="00CA71F4" w:rsidRDefault="00CA71F4">
          <w:pPr>
            <w:pStyle w:val="TOC1"/>
            <w:tabs>
              <w:tab w:val="right" w:leader="dot" w:pos="9350"/>
            </w:tabs>
            <w:rPr>
              <w:rFonts w:eastAsiaTheme="minorEastAsia"/>
              <w:b w:val="0"/>
              <w:bCs w:val="0"/>
              <w:i w:val="0"/>
              <w:iCs w:val="0"/>
              <w:noProof/>
            </w:rPr>
          </w:pPr>
          <w:hyperlink w:anchor="_Toc240119407" w:history="1">
            <w:r w:rsidRPr="00032C88">
              <w:rPr>
                <w:rStyle w:val="Hyperlink"/>
                <w:noProof/>
              </w:rPr>
              <w:t>References</w:t>
            </w:r>
            <w:r>
              <w:rPr>
                <w:noProof/>
                <w:webHidden/>
              </w:rPr>
              <w:tab/>
            </w:r>
            <w:r>
              <w:rPr>
                <w:noProof/>
                <w:webHidden/>
              </w:rPr>
              <w:fldChar w:fldCharType="begin"/>
            </w:r>
            <w:r>
              <w:rPr>
                <w:noProof/>
                <w:webHidden/>
              </w:rPr>
              <w:instrText xml:space="preserve"> PAGEREF _Toc240119407 \h </w:instrText>
            </w:r>
            <w:r>
              <w:rPr>
                <w:noProof/>
                <w:webHidden/>
              </w:rPr>
            </w:r>
            <w:r>
              <w:rPr>
                <w:noProof/>
                <w:webHidden/>
              </w:rPr>
              <w:fldChar w:fldCharType="separate"/>
            </w:r>
            <w:r w:rsidR="00D13CA4">
              <w:rPr>
                <w:noProof/>
                <w:webHidden/>
              </w:rPr>
              <w:t>25</w:t>
            </w:r>
            <w:r>
              <w:rPr>
                <w:noProof/>
                <w:webHidden/>
              </w:rPr>
              <w:fldChar w:fldCharType="end"/>
            </w:r>
          </w:hyperlink>
        </w:p>
        <w:p w14:paraId="3DA92ABC" w14:textId="426D260A" w:rsidR="00CA71F4" w:rsidRDefault="00CA71F4">
          <w:pPr>
            <w:pStyle w:val="TOC1"/>
            <w:tabs>
              <w:tab w:val="right" w:leader="dot" w:pos="9350"/>
            </w:tabs>
            <w:rPr>
              <w:rFonts w:eastAsiaTheme="minorEastAsia"/>
              <w:b w:val="0"/>
              <w:bCs w:val="0"/>
              <w:i w:val="0"/>
              <w:iCs w:val="0"/>
              <w:noProof/>
            </w:rPr>
          </w:pPr>
          <w:hyperlink w:anchor="_Toc240119408" w:history="1">
            <w:r w:rsidRPr="00032C88">
              <w:rPr>
                <w:rStyle w:val="Hyperlink"/>
                <w:noProof/>
              </w:rPr>
              <w:t>Appendix</w:t>
            </w:r>
            <w:r>
              <w:rPr>
                <w:noProof/>
                <w:webHidden/>
              </w:rPr>
              <w:tab/>
            </w:r>
            <w:r>
              <w:rPr>
                <w:noProof/>
                <w:webHidden/>
              </w:rPr>
              <w:fldChar w:fldCharType="begin"/>
            </w:r>
            <w:r>
              <w:rPr>
                <w:noProof/>
                <w:webHidden/>
              </w:rPr>
              <w:instrText xml:space="preserve"> PAGEREF _Toc240119408 \h </w:instrText>
            </w:r>
            <w:r>
              <w:rPr>
                <w:noProof/>
                <w:webHidden/>
              </w:rPr>
            </w:r>
            <w:r>
              <w:rPr>
                <w:noProof/>
                <w:webHidden/>
              </w:rPr>
              <w:fldChar w:fldCharType="separate"/>
            </w:r>
            <w:r w:rsidR="00D13CA4">
              <w:rPr>
                <w:noProof/>
                <w:webHidden/>
              </w:rPr>
              <w:t>25</w:t>
            </w:r>
            <w:r>
              <w:rPr>
                <w:noProof/>
                <w:webHidden/>
              </w:rPr>
              <w:fldChar w:fldCharType="end"/>
            </w:r>
          </w:hyperlink>
        </w:p>
        <w:p w14:paraId="1DD95254" w14:textId="2574B3D7" w:rsidR="00CA71F4" w:rsidRDefault="00CA71F4">
          <w:pPr>
            <w:pStyle w:val="TOC2"/>
            <w:tabs>
              <w:tab w:val="right" w:leader="dot" w:pos="9350"/>
            </w:tabs>
            <w:rPr>
              <w:rFonts w:eastAsiaTheme="minorEastAsia"/>
              <w:b w:val="0"/>
              <w:bCs w:val="0"/>
              <w:noProof/>
              <w:sz w:val="24"/>
              <w:szCs w:val="24"/>
            </w:rPr>
          </w:pPr>
          <w:hyperlink w:anchor="_Toc240119409" w:history="1">
            <w:r w:rsidRPr="00032C88">
              <w:rPr>
                <w:rStyle w:val="Hyperlink"/>
                <w:noProof/>
              </w:rPr>
              <w:t xml:space="preserve">Note on logit </w:t>
            </w:r>
            <m:oMath>
              <m:r>
                <m:rPr>
                  <m:scr m:val="script"/>
                  <m:sty m:val="bi"/>
                </m:rPr>
                <w:rPr>
                  <w:rStyle w:val="Hyperlink"/>
                  <w:rFonts w:ascii="Cambria Math" w:hAnsi="Cambria Math"/>
                  <w:noProof/>
                </w:rPr>
                <m:t>l</m:t>
              </m:r>
            </m:oMath>
            <w:r w:rsidRPr="00032C88">
              <w:rPr>
                <w:rStyle w:val="Hyperlink"/>
                <w:noProof/>
              </w:rPr>
              <w:t xml:space="preserve"> and embedding matrix </w:t>
            </w:r>
            <m:oMath>
              <m:r>
                <m:rPr>
                  <m:sty m:val="bi"/>
                </m:rPr>
                <w:rPr>
                  <w:rStyle w:val="Hyperlink"/>
                  <w:rFonts w:ascii="Cambria Math" w:hAnsi="Cambria Math"/>
                  <w:noProof/>
                </w:rPr>
                <m:t>E</m:t>
              </m:r>
            </m:oMath>
            <w:r w:rsidRPr="00032C88">
              <w:rPr>
                <w:rStyle w:val="Hyperlink"/>
                <w:noProof/>
              </w:rPr>
              <w:t xml:space="preserve"> in SPLM</w:t>
            </w:r>
            <w:r>
              <w:rPr>
                <w:noProof/>
                <w:webHidden/>
              </w:rPr>
              <w:tab/>
            </w:r>
            <w:r>
              <w:rPr>
                <w:noProof/>
                <w:webHidden/>
              </w:rPr>
              <w:fldChar w:fldCharType="begin"/>
            </w:r>
            <w:r>
              <w:rPr>
                <w:noProof/>
                <w:webHidden/>
              </w:rPr>
              <w:instrText xml:space="preserve"> PAGEREF _Toc240119409 \h </w:instrText>
            </w:r>
            <w:r>
              <w:rPr>
                <w:noProof/>
                <w:webHidden/>
              </w:rPr>
            </w:r>
            <w:r>
              <w:rPr>
                <w:noProof/>
                <w:webHidden/>
              </w:rPr>
              <w:fldChar w:fldCharType="separate"/>
            </w:r>
            <w:r w:rsidR="00D13CA4">
              <w:rPr>
                <w:noProof/>
                <w:webHidden/>
              </w:rPr>
              <w:t>25</w:t>
            </w:r>
            <w:r>
              <w:rPr>
                <w:noProof/>
                <w:webHidden/>
              </w:rPr>
              <w:fldChar w:fldCharType="end"/>
            </w:r>
          </w:hyperlink>
        </w:p>
        <w:p w14:paraId="353826CD" w14:textId="469EE773" w:rsidR="00CA71F4" w:rsidRDefault="00CA71F4">
          <w:pPr>
            <w:pStyle w:val="TOC2"/>
            <w:tabs>
              <w:tab w:val="right" w:leader="dot" w:pos="9350"/>
            </w:tabs>
            <w:rPr>
              <w:rFonts w:eastAsiaTheme="minorEastAsia"/>
              <w:b w:val="0"/>
              <w:bCs w:val="0"/>
              <w:noProof/>
              <w:sz w:val="24"/>
              <w:szCs w:val="24"/>
            </w:rPr>
          </w:pPr>
          <w:hyperlink w:anchor="_Toc240119410" w:history="1">
            <w:r w:rsidRPr="00032C88">
              <w:rPr>
                <w:rStyle w:val="Hyperlink"/>
                <w:noProof/>
              </w:rPr>
              <w:t>Note on SARF-faithful mass</w:t>
            </w:r>
            <w:r>
              <w:rPr>
                <w:noProof/>
                <w:webHidden/>
              </w:rPr>
              <w:tab/>
            </w:r>
            <w:r>
              <w:rPr>
                <w:noProof/>
                <w:webHidden/>
              </w:rPr>
              <w:fldChar w:fldCharType="begin"/>
            </w:r>
            <w:r>
              <w:rPr>
                <w:noProof/>
                <w:webHidden/>
              </w:rPr>
              <w:instrText xml:space="preserve"> PAGEREF _Toc240119410 \h </w:instrText>
            </w:r>
            <w:r>
              <w:rPr>
                <w:noProof/>
                <w:webHidden/>
              </w:rPr>
            </w:r>
            <w:r>
              <w:rPr>
                <w:noProof/>
                <w:webHidden/>
              </w:rPr>
              <w:fldChar w:fldCharType="separate"/>
            </w:r>
            <w:r w:rsidR="00D13CA4">
              <w:rPr>
                <w:noProof/>
                <w:webHidden/>
              </w:rPr>
              <w:t>26</w:t>
            </w:r>
            <w:r>
              <w:rPr>
                <w:noProof/>
                <w:webHidden/>
              </w:rPr>
              <w:fldChar w:fldCharType="end"/>
            </w:r>
          </w:hyperlink>
        </w:p>
        <w:p w14:paraId="4635487C" w14:textId="0B361FC7" w:rsidR="00CA71F4" w:rsidRDefault="00CA71F4">
          <w:pPr>
            <w:pStyle w:val="TOC3"/>
            <w:tabs>
              <w:tab w:val="right" w:leader="dot" w:pos="9350"/>
            </w:tabs>
            <w:rPr>
              <w:rFonts w:eastAsiaTheme="minorEastAsia"/>
              <w:noProof/>
              <w:sz w:val="24"/>
              <w:szCs w:val="24"/>
            </w:rPr>
          </w:pPr>
          <w:hyperlink w:anchor="_Toc240119411" w:history="1">
            <w:r w:rsidRPr="00032C88">
              <w:rPr>
                <w:rStyle w:val="Hyperlink"/>
                <w:rFonts w:ascii="Calibri" w:hAnsi="Calibri"/>
                <w:noProof/>
              </w:rPr>
              <w:t>Component 1 — SARF-faithful ξ (§14.13)</w:t>
            </w:r>
            <w:r>
              <w:rPr>
                <w:noProof/>
                <w:webHidden/>
              </w:rPr>
              <w:tab/>
            </w:r>
            <w:r>
              <w:rPr>
                <w:noProof/>
                <w:webHidden/>
              </w:rPr>
              <w:fldChar w:fldCharType="begin"/>
            </w:r>
            <w:r>
              <w:rPr>
                <w:noProof/>
                <w:webHidden/>
              </w:rPr>
              <w:instrText xml:space="preserve"> PAGEREF _Toc240119411 \h </w:instrText>
            </w:r>
            <w:r>
              <w:rPr>
                <w:noProof/>
                <w:webHidden/>
              </w:rPr>
            </w:r>
            <w:r>
              <w:rPr>
                <w:noProof/>
                <w:webHidden/>
              </w:rPr>
              <w:fldChar w:fldCharType="separate"/>
            </w:r>
            <w:r w:rsidR="00D13CA4">
              <w:rPr>
                <w:noProof/>
                <w:webHidden/>
              </w:rPr>
              <w:t>28</w:t>
            </w:r>
            <w:r>
              <w:rPr>
                <w:noProof/>
                <w:webHidden/>
              </w:rPr>
              <w:fldChar w:fldCharType="end"/>
            </w:r>
          </w:hyperlink>
        </w:p>
        <w:p w14:paraId="052A97DD" w14:textId="2CB07FC2" w:rsidR="00CA71F4" w:rsidRDefault="00CA71F4">
          <w:pPr>
            <w:pStyle w:val="TOC3"/>
            <w:tabs>
              <w:tab w:val="right" w:leader="dot" w:pos="9350"/>
            </w:tabs>
            <w:rPr>
              <w:rFonts w:eastAsiaTheme="minorEastAsia"/>
              <w:noProof/>
              <w:sz w:val="24"/>
              <w:szCs w:val="24"/>
            </w:rPr>
          </w:pPr>
          <w:hyperlink w:anchor="_Toc240119412" w:history="1">
            <w:r w:rsidRPr="00032C88">
              <w:rPr>
                <w:rStyle w:val="Hyperlink"/>
                <w:rFonts w:ascii="Calibri" w:hAnsi="Calibri"/>
                <w:noProof/>
              </w:rPr>
              <w:t>Component 2 — logfreq per-token mass (§14.14)</w:t>
            </w:r>
            <w:r>
              <w:rPr>
                <w:noProof/>
                <w:webHidden/>
              </w:rPr>
              <w:tab/>
            </w:r>
            <w:r>
              <w:rPr>
                <w:noProof/>
                <w:webHidden/>
              </w:rPr>
              <w:fldChar w:fldCharType="begin"/>
            </w:r>
            <w:r>
              <w:rPr>
                <w:noProof/>
                <w:webHidden/>
              </w:rPr>
              <w:instrText xml:space="preserve"> PAGEREF _Toc240119412 \h </w:instrText>
            </w:r>
            <w:r>
              <w:rPr>
                <w:noProof/>
                <w:webHidden/>
              </w:rPr>
            </w:r>
            <w:r>
              <w:rPr>
                <w:noProof/>
                <w:webHidden/>
              </w:rPr>
              <w:fldChar w:fldCharType="separate"/>
            </w:r>
            <w:r w:rsidR="00D13CA4">
              <w:rPr>
                <w:noProof/>
                <w:webHidden/>
              </w:rPr>
              <w:t>28</w:t>
            </w:r>
            <w:r>
              <w:rPr>
                <w:noProof/>
                <w:webHidden/>
              </w:rPr>
              <w:fldChar w:fldCharType="end"/>
            </w:r>
          </w:hyperlink>
        </w:p>
        <w:p w14:paraId="4E10B274" w14:textId="5459CEA3" w:rsidR="00CA71F4" w:rsidRDefault="00CA71F4">
          <w:pPr>
            <w:pStyle w:val="TOC3"/>
            <w:tabs>
              <w:tab w:val="right" w:leader="dot" w:pos="9350"/>
            </w:tabs>
            <w:rPr>
              <w:rFonts w:eastAsiaTheme="minorEastAsia"/>
              <w:noProof/>
              <w:sz w:val="24"/>
              <w:szCs w:val="24"/>
            </w:rPr>
          </w:pPr>
          <w:hyperlink w:anchor="_Toc240119413" w:history="1">
            <w:r w:rsidRPr="00032C88">
              <w:rPr>
                <w:rStyle w:val="Hyperlink"/>
                <w:rFonts w:ascii="Calibri" w:hAnsi="Calibri"/>
                <w:noProof/>
              </w:rPr>
              <w:t>Combined result (§4.4 of Training_and_Inference_with_SPLM.md)</w:t>
            </w:r>
            <w:r>
              <w:rPr>
                <w:noProof/>
                <w:webHidden/>
              </w:rPr>
              <w:tab/>
            </w:r>
            <w:r>
              <w:rPr>
                <w:noProof/>
                <w:webHidden/>
              </w:rPr>
              <w:fldChar w:fldCharType="begin"/>
            </w:r>
            <w:r>
              <w:rPr>
                <w:noProof/>
                <w:webHidden/>
              </w:rPr>
              <w:instrText xml:space="preserve"> PAGEREF _Toc240119413 \h </w:instrText>
            </w:r>
            <w:r>
              <w:rPr>
                <w:noProof/>
                <w:webHidden/>
              </w:rPr>
            </w:r>
            <w:r>
              <w:rPr>
                <w:noProof/>
                <w:webHidden/>
              </w:rPr>
              <w:fldChar w:fldCharType="separate"/>
            </w:r>
            <w:r w:rsidR="00D13CA4">
              <w:rPr>
                <w:noProof/>
                <w:webHidden/>
              </w:rPr>
              <w:t>28</w:t>
            </w:r>
            <w:r>
              <w:rPr>
                <w:noProof/>
                <w:webHidden/>
              </w:rPr>
              <w:fldChar w:fldCharType="end"/>
            </w:r>
          </w:hyperlink>
        </w:p>
        <w:p w14:paraId="719AFCAE" w14:textId="39BC73C2" w:rsidR="00CA71F4" w:rsidRDefault="00CA71F4">
          <w:pPr>
            <w:pStyle w:val="TOC2"/>
            <w:tabs>
              <w:tab w:val="right" w:leader="dot" w:pos="9350"/>
            </w:tabs>
            <w:rPr>
              <w:rFonts w:eastAsiaTheme="minorEastAsia"/>
              <w:b w:val="0"/>
              <w:bCs w:val="0"/>
              <w:noProof/>
              <w:sz w:val="24"/>
              <w:szCs w:val="24"/>
            </w:rPr>
          </w:pPr>
          <w:hyperlink w:anchor="_Toc240119414" w:history="1">
            <w:r w:rsidRPr="00032C88">
              <w:rPr>
                <w:rStyle w:val="Hyperlink"/>
                <w:noProof/>
              </w:rPr>
              <w:t xml:space="preserve">Note on learning in Fock-PARFLM using structured </w:t>
            </w:r>
            <m:oMath>
              <m:r>
                <m:rPr>
                  <m:sty m:val="bi"/>
                </m:rPr>
                <w:rPr>
                  <w:rStyle w:val="Hyperlink"/>
                  <w:rFonts w:ascii="Cambria Math" w:hAnsi="Cambria Math"/>
                  <w:noProof/>
                </w:rPr>
                <m:t>Vθ</m:t>
              </m:r>
            </m:oMath>
            <w:r w:rsidRPr="00032C88">
              <w:rPr>
                <w:rStyle w:val="Hyperlink"/>
                <w:noProof/>
              </w:rPr>
              <w:t xml:space="preserve"> energy landscape</w:t>
            </w:r>
            <w:r>
              <w:rPr>
                <w:noProof/>
                <w:webHidden/>
              </w:rPr>
              <w:tab/>
            </w:r>
            <w:r>
              <w:rPr>
                <w:noProof/>
                <w:webHidden/>
              </w:rPr>
              <w:fldChar w:fldCharType="begin"/>
            </w:r>
            <w:r>
              <w:rPr>
                <w:noProof/>
                <w:webHidden/>
              </w:rPr>
              <w:instrText xml:space="preserve"> PAGEREF _Toc240119414 \h </w:instrText>
            </w:r>
            <w:r>
              <w:rPr>
                <w:noProof/>
                <w:webHidden/>
              </w:rPr>
            </w:r>
            <w:r>
              <w:rPr>
                <w:noProof/>
                <w:webHidden/>
              </w:rPr>
              <w:fldChar w:fldCharType="separate"/>
            </w:r>
            <w:r w:rsidR="00D13CA4">
              <w:rPr>
                <w:noProof/>
                <w:webHidden/>
              </w:rPr>
              <w:t>28</w:t>
            </w:r>
            <w:r>
              <w:rPr>
                <w:noProof/>
                <w:webHidden/>
              </w:rPr>
              <w:fldChar w:fldCharType="end"/>
            </w:r>
          </w:hyperlink>
        </w:p>
        <w:p w14:paraId="61DC98AB" w14:textId="7527BCDF" w:rsidR="00CA71F4" w:rsidRDefault="00CA71F4">
          <w:pPr>
            <w:pStyle w:val="TOC3"/>
            <w:tabs>
              <w:tab w:val="right" w:leader="dot" w:pos="9350"/>
            </w:tabs>
            <w:rPr>
              <w:rFonts w:eastAsiaTheme="minorEastAsia"/>
              <w:noProof/>
              <w:sz w:val="24"/>
              <w:szCs w:val="24"/>
            </w:rPr>
          </w:pPr>
          <w:hyperlink w:anchor="_Toc240119415" w:history="1">
            <w:r w:rsidRPr="00032C88">
              <w:rPr>
                <w:rStyle w:val="Hyperlink"/>
                <w:rFonts w:ascii="Calibri" w:hAnsi="Calibri"/>
                <w:noProof/>
              </w:rPr>
              <w:t>Clarification on “optimised anchors”</w:t>
            </w:r>
            <w:r>
              <w:rPr>
                <w:noProof/>
                <w:webHidden/>
              </w:rPr>
              <w:tab/>
            </w:r>
            <w:r>
              <w:rPr>
                <w:noProof/>
                <w:webHidden/>
              </w:rPr>
              <w:fldChar w:fldCharType="begin"/>
            </w:r>
            <w:r>
              <w:rPr>
                <w:noProof/>
                <w:webHidden/>
              </w:rPr>
              <w:instrText xml:space="preserve"> PAGEREF _Toc240119415 \h </w:instrText>
            </w:r>
            <w:r>
              <w:rPr>
                <w:noProof/>
                <w:webHidden/>
              </w:rPr>
            </w:r>
            <w:r>
              <w:rPr>
                <w:noProof/>
                <w:webHidden/>
              </w:rPr>
              <w:fldChar w:fldCharType="separate"/>
            </w:r>
            <w:r w:rsidR="00D13CA4">
              <w:rPr>
                <w:noProof/>
                <w:webHidden/>
              </w:rPr>
              <w:t>29</w:t>
            </w:r>
            <w:r>
              <w:rPr>
                <w:noProof/>
                <w:webHidden/>
              </w:rPr>
              <w:fldChar w:fldCharType="end"/>
            </w:r>
          </w:hyperlink>
        </w:p>
        <w:p w14:paraId="66D9C2E4" w14:textId="72B6230A" w:rsidR="00CA71F4" w:rsidRDefault="00CA71F4">
          <w:pPr>
            <w:pStyle w:val="TOC3"/>
            <w:tabs>
              <w:tab w:val="right" w:leader="dot" w:pos="9350"/>
            </w:tabs>
            <w:rPr>
              <w:rFonts w:eastAsiaTheme="minorEastAsia"/>
              <w:noProof/>
              <w:sz w:val="24"/>
              <w:szCs w:val="24"/>
            </w:rPr>
          </w:pPr>
          <w:hyperlink w:anchor="_Toc240119416" w:history="1">
            <w:r w:rsidRPr="00032C88">
              <w:rPr>
                <w:rStyle w:val="Hyperlink"/>
                <w:rFonts w:ascii="Calibri" w:hAnsi="Calibri"/>
                <w:noProof/>
              </w:rPr>
              <w:t>What else carries gradients (everything in this list is trainable)</w:t>
            </w:r>
            <w:r>
              <w:rPr>
                <w:noProof/>
                <w:webHidden/>
              </w:rPr>
              <w:tab/>
            </w:r>
            <w:r>
              <w:rPr>
                <w:noProof/>
                <w:webHidden/>
              </w:rPr>
              <w:fldChar w:fldCharType="begin"/>
            </w:r>
            <w:r>
              <w:rPr>
                <w:noProof/>
                <w:webHidden/>
              </w:rPr>
              <w:instrText xml:space="preserve"> PAGEREF _Toc240119416 \h </w:instrText>
            </w:r>
            <w:r>
              <w:rPr>
                <w:noProof/>
                <w:webHidden/>
              </w:rPr>
            </w:r>
            <w:r>
              <w:rPr>
                <w:noProof/>
                <w:webHidden/>
              </w:rPr>
              <w:fldChar w:fldCharType="separate"/>
            </w:r>
            <w:r w:rsidR="00D13CA4">
              <w:rPr>
                <w:noProof/>
                <w:webHidden/>
              </w:rPr>
              <w:t>30</w:t>
            </w:r>
            <w:r>
              <w:rPr>
                <w:noProof/>
                <w:webHidden/>
              </w:rPr>
              <w:fldChar w:fldCharType="end"/>
            </w:r>
          </w:hyperlink>
        </w:p>
        <w:p w14:paraId="4B169ED0" w14:textId="387D4B98" w:rsidR="00CA71F4" w:rsidRDefault="00CA71F4">
          <w:pPr>
            <w:pStyle w:val="TOC3"/>
            <w:tabs>
              <w:tab w:val="right" w:leader="dot" w:pos="9350"/>
            </w:tabs>
            <w:rPr>
              <w:rFonts w:eastAsiaTheme="minorEastAsia"/>
              <w:noProof/>
              <w:sz w:val="24"/>
              <w:szCs w:val="24"/>
            </w:rPr>
          </w:pPr>
          <w:hyperlink w:anchor="_Toc240119417" w:history="1">
            <w:r w:rsidRPr="00032C88">
              <w:rPr>
                <w:rStyle w:val="Hyperlink"/>
                <w:rFonts w:ascii="Calibri" w:hAnsi="Calibri"/>
                <w:noProof/>
              </w:rPr>
              <w:t>The tension</w:t>
            </w:r>
            <w:r>
              <w:rPr>
                <w:noProof/>
                <w:webHidden/>
              </w:rPr>
              <w:tab/>
            </w:r>
            <w:r>
              <w:rPr>
                <w:noProof/>
                <w:webHidden/>
              </w:rPr>
              <w:fldChar w:fldCharType="begin"/>
            </w:r>
            <w:r>
              <w:rPr>
                <w:noProof/>
                <w:webHidden/>
              </w:rPr>
              <w:instrText xml:space="preserve"> PAGEREF _Toc240119417 \h </w:instrText>
            </w:r>
            <w:r>
              <w:rPr>
                <w:noProof/>
                <w:webHidden/>
              </w:rPr>
            </w:r>
            <w:r>
              <w:rPr>
                <w:noProof/>
                <w:webHidden/>
              </w:rPr>
              <w:fldChar w:fldCharType="separate"/>
            </w:r>
            <w:r w:rsidR="00D13CA4">
              <w:rPr>
                <w:noProof/>
                <w:webHidden/>
              </w:rPr>
              <w:t>31</w:t>
            </w:r>
            <w:r>
              <w:rPr>
                <w:noProof/>
                <w:webHidden/>
              </w:rPr>
              <w:fldChar w:fldCharType="end"/>
            </w:r>
          </w:hyperlink>
        </w:p>
        <w:p w14:paraId="3DD76050" w14:textId="12297FAA" w:rsidR="00CA71F4" w:rsidRDefault="00CA71F4">
          <w:pPr>
            <w:pStyle w:val="TOC3"/>
            <w:tabs>
              <w:tab w:val="right" w:leader="dot" w:pos="9350"/>
            </w:tabs>
            <w:rPr>
              <w:rFonts w:eastAsiaTheme="minorEastAsia"/>
              <w:noProof/>
              <w:sz w:val="24"/>
              <w:szCs w:val="24"/>
            </w:rPr>
          </w:pPr>
          <w:hyperlink w:anchor="_Toc240119418" w:history="1">
            <w:r w:rsidRPr="00032C88">
              <w:rPr>
                <w:rStyle w:val="Hyperlink"/>
                <w:rFonts w:ascii="Calibri" w:hAnsi="Calibri"/>
                <w:noProof/>
              </w:rPr>
              <w:t>The conceptual point</w:t>
            </w:r>
            <w:r>
              <w:rPr>
                <w:noProof/>
                <w:webHidden/>
              </w:rPr>
              <w:tab/>
            </w:r>
            <w:r>
              <w:rPr>
                <w:noProof/>
                <w:webHidden/>
              </w:rPr>
              <w:fldChar w:fldCharType="begin"/>
            </w:r>
            <w:r>
              <w:rPr>
                <w:noProof/>
                <w:webHidden/>
              </w:rPr>
              <w:instrText xml:space="preserve"> PAGEREF _Toc240119418 \h </w:instrText>
            </w:r>
            <w:r>
              <w:rPr>
                <w:noProof/>
                <w:webHidden/>
              </w:rPr>
            </w:r>
            <w:r>
              <w:rPr>
                <w:noProof/>
                <w:webHidden/>
              </w:rPr>
              <w:fldChar w:fldCharType="separate"/>
            </w:r>
            <w:r w:rsidR="00D13CA4">
              <w:rPr>
                <w:noProof/>
                <w:webHidden/>
              </w:rPr>
              <w:t>34</w:t>
            </w:r>
            <w:r>
              <w:rPr>
                <w:noProof/>
                <w:webHidden/>
              </w:rPr>
              <w:fldChar w:fldCharType="end"/>
            </w:r>
          </w:hyperlink>
        </w:p>
        <w:p w14:paraId="0A96B33C" w14:textId="4BC59F44" w:rsidR="00CA71F4" w:rsidRDefault="00CA71F4">
          <w:pPr>
            <w:pStyle w:val="TOC2"/>
            <w:tabs>
              <w:tab w:val="right" w:leader="dot" w:pos="9350"/>
            </w:tabs>
            <w:rPr>
              <w:rFonts w:eastAsiaTheme="minorEastAsia"/>
              <w:b w:val="0"/>
              <w:bCs w:val="0"/>
              <w:noProof/>
              <w:sz w:val="24"/>
              <w:szCs w:val="24"/>
            </w:rPr>
          </w:pPr>
          <w:hyperlink w:anchor="_Toc240119419" w:history="1">
            <w:r w:rsidRPr="00032C88">
              <w:rPr>
                <w:rStyle w:val="Hyperlink"/>
                <w:noProof/>
              </w:rPr>
              <w:t>Note on Why Tied LM Head worsens the Perplexity score</w:t>
            </w:r>
            <w:r>
              <w:rPr>
                <w:noProof/>
                <w:webHidden/>
              </w:rPr>
              <w:tab/>
            </w:r>
            <w:r>
              <w:rPr>
                <w:noProof/>
                <w:webHidden/>
              </w:rPr>
              <w:fldChar w:fldCharType="begin"/>
            </w:r>
            <w:r>
              <w:rPr>
                <w:noProof/>
                <w:webHidden/>
              </w:rPr>
              <w:instrText xml:space="preserve"> PAGEREF _Toc240119419 \h </w:instrText>
            </w:r>
            <w:r>
              <w:rPr>
                <w:noProof/>
                <w:webHidden/>
              </w:rPr>
            </w:r>
            <w:r>
              <w:rPr>
                <w:noProof/>
                <w:webHidden/>
              </w:rPr>
              <w:fldChar w:fldCharType="separate"/>
            </w:r>
            <w:r w:rsidR="00D13CA4">
              <w:rPr>
                <w:noProof/>
                <w:webHidden/>
              </w:rPr>
              <w:t>34</w:t>
            </w:r>
            <w:r>
              <w:rPr>
                <w:noProof/>
                <w:webHidden/>
              </w:rPr>
              <w:fldChar w:fldCharType="end"/>
            </w:r>
          </w:hyperlink>
        </w:p>
        <w:p w14:paraId="5266B3ED" w14:textId="64EAAF42" w:rsidR="00CA71F4" w:rsidRDefault="00CA71F4">
          <w:pPr>
            <w:pStyle w:val="TOC3"/>
            <w:tabs>
              <w:tab w:val="right" w:leader="dot" w:pos="9350"/>
            </w:tabs>
            <w:rPr>
              <w:rFonts w:eastAsiaTheme="minorEastAsia"/>
              <w:noProof/>
              <w:sz w:val="24"/>
              <w:szCs w:val="24"/>
            </w:rPr>
          </w:pPr>
          <w:hyperlink w:anchor="_Toc240119420" w:history="1">
            <w:r w:rsidRPr="00032C88">
              <w:rPr>
                <w:rStyle w:val="Hyperlink"/>
                <w:rFonts w:ascii="Calibri" w:hAnsi="Calibri"/>
                <w:noProof/>
              </w:rPr>
              <w:t>The problem: tied head forces the dynamics to encode the frequency prior</w:t>
            </w:r>
            <w:r>
              <w:rPr>
                <w:noProof/>
                <w:webHidden/>
              </w:rPr>
              <w:tab/>
            </w:r>
            <w:r>
              <w:rPr>
                <w:noProof/>
                <w:webHidden/>
              </w:rPr>
              <w:fldChar w:fldCharType="begin"/>
            </w:r>
            <w:r>
              <w:rPr>
                <w:noProof/>
                <w:webHidden/>
              </w:rPr>
              <w:instrText xml:space="preserve"> PAGEREF _Toc240119420 \h </w:instrText>
            </w:r>
            <w:r>
              <w:rPr>
                <w:noProof/>
                <w:webHidden/>
              </w:rPr>
            </w:r>
            <w:r>
              <w:rPr>
                <w:noProof/>
                <w:webHidden/>
              </w:rPr>
              <w:fldChar w:fldCharType="separate"/>
            </w:r>
            <w:r w:rsidR="00D13CA4">
              <w:rPr>
                <w:noProof/>
                <w:webHidden/>
              </w:rPr>
              <w:t>35</w:t>
            </w:r>
            <w:r>
              <w:rPr>
                <w:noProof/>
                <w:webHidden/>
              </w:rPr>
              <w:fldChar w:fldCharType="end"/>
            </w:r>
          </w:hyperlink>
        </w:p>
        <w:p w14:paraId="49116E9A" w14:textId="676B4020" w:rsidR="00CA71F4" w:rsidRDefault="00CA71F4">
          <w:pPr>
            <w:pStyle w:val="TOC3"/>
            <w:tabs>
              <w:tab w:val="right" w:leader="dot" w:pos="9350"/>
            </w:tabs>
            <w:rPr>
              <w:rFonts w:eastAsiaTheme="minorEastAsia"/>
              <w:noProof/>
              <w:sz w:val="24"/>
              <w:szCs w:val="24"/>
            </w:rPr>
          </w:pPr>
          <w:hyperlink w:anchor="_Toc240119421" w:history="1">
            <w:r w:rsidRPr="00032C88">
              <w:rPr>
                <w:rStyle w:val="Hyperlink"/>
                <w:rFonts w:ascii="Calibri" w:hAnsi="Calibri"/>
                <w:noProof/>
              </w:rPr>
              <w:t>D0.4 evidence</w:t>
            </w:r>
            <w:r>
              <w:rPr>
                <w:noProof/>
                <w:webHidden/>
              </w:rPr>
              <w:tab/>
            </w:r>
            <w:r>
              <w:rPr>
                <w:noProof/>
                <w:webHidden/>
              </w:rPr>
              <w:fldChar w:fldCharType="begin"/>
            </w:r>
            <w:r>
              <w:rPr>
                <w:noProof/>
                <w:webHidden/>
              </w:rPr>
              <w:instrText xml:space="preserve"> PAGEREF _Toc240119421 \h </w:instrText>
            </w:r>
            <w:r>
              <w:rPr>
                <w:noProof/>
                <w:webHidden/>
              </w:rPr>
            </w:r>
            <w:r>
              <w:rPr>
                <w:noProof/>
                <w:webHidden/>
              </w:rPr>
              <w:fldChar w:fldCharType="separate"/>
            </w:r>
            <w:r w:rsidR="00D13CA4">
              <w:rPr>
                <w:noProof/>
                <w:webHidden/>
              </w:rPr>
              <w:t>35</w:t>
            </w:r>
            <w:r>
              <w:rPr>
                <w:noProof/>
                <w:webHidden/>
              </w:rPr>
              <w:fldChar w:fldCharType="end"/>
            </w:r>
          </w:hyperlink>
        </w:p>
        <w:p w14:paraId="3CCCEC2D" w14:textId="31D3C862" w:rsidR="00CA71F4" w:rsidRDefault="00CA71F4">
          <w:pPr>
            <w:pStyle w:val="TOC3"/>
            <w:tabs>
              <w:tab w:val="right" w:leader="dot" w:pos="9350"/>
            </w:tabs>
            <w:rPr>
              <w:rFonts w:eastAsiaTheme="minorEastAsia"/>
              <w:noProof/>
              <w:sz w:val="24"/>
              <w:szCs w:val="24"/>
            </w:rPr>
          </w:pPr>
          <w:hyperlink w:anchor="_Toc240119422" w:history="1">
            <w:r w:rsidRPr="00032C88">
              <w:rPr>
                <w:rStyle w:val="Hyperlink"/>
                <w:rFonts w:ascii="Calibri" w:hAnsi="Calibri"/>
                <w:noProof/>
              </w:rPr>
              <w:t>Why untying fixes it</w:t>
            </w:r>
            <w:r>
              <w:rPr>
                <w:noProof/>
                <w:webHidden/>
              </w:rPr>
              <w:tab/>
            </w:r>
            <w:r>
              <w:rPr>
                <w:noProof/>
                <w:webHidden/>
              </w:rPr>
              <w:fldChar w:fldCharType="begin"/>
            </w:r>
            <w:r>
              <w:rPr>
                <w:noProof/>
                <w:webHidden/>
              </w:rPr>
              <w:instrText xml:space="preserve"> PAGEREF _Toc240119422 \h </w:instrText>
            </w:r>
            <w:r>
              <w:rPr>
                <w:noProof/>
                <w:webHidden/>
              </w:rPr>
            </w:r>
            <w:r>
              <w:rPr>
                <w:noProof/>
                <w:webHidden/>
              </w:rPr>
              <w:fldChar w:fldCharType="separate"/>
            </w:r>
            <w:r w:rsidR="00D13CA4">
              <w:rPr>
                <w:noProof/>
                <w:webHidden/>
              </w:rPr>
              <w:t>35</w:t>
            </w:r>
            <w:r>
              <w:rPr>
                <w:noProof/>
                <w:webHidden/>
              </w:rPr>
              <w:fldChar w:fldCharType="end"/>
            </w:r>
          </w:hyperlink>
        </w:p>
        <w:p w14:paraId="1C8D5936" w14:textId="3CF44742" w:rsidR="00CA71F4" w:rsidRDefault="00CA71F4">
          <w:pPr>
            <w:pStyle w:val="TOC3"/>
            <w:tabs>
              <w:tab w:val="right" w:leader="dot" w:pos="9350"/>
            </w:tabs>
            <w:rPr>
              <w:rFonts w:eastAsiaTheme="minorEastAsia"/>
              <w:noProof/>
              <w:sz w:val="24"/>
              <w:szCs w:val="24"/>
            </w:rPr>
          </w:pPr>
          <w:hyperlink w:anchor="_Toc240119423" w:history="1">
            <w:r w:rsidRPr="00032C88">
              <w:rPr>
                <w:rStyle w:val="Hyperlink"/>
                <w:rFonts w:ascii="Calibri" w:hAnsi="Calibri"/>
                <w:noProof/>
              </w:rPr>
              <w:t>1. Setup and notation</w:t>
            </w:r>
            <w:r>
              <w:rPr>
                <w:noProof/>
                <w:webHidden/>
              </w:rPr>
              <w:tab/>
            </w:r>
            <w:r>
              <w:rPr>
                <w:noProof/>
                <w:webHidden/>
              </w:rPr>
              <w:fldChar w:fldCharType="begin"/>
            </w:r>
            <w:r>
              <w:rPr>
                <w:noProof/>
                <w:webHidden/>
              </w:rPr>
              <w:instrText xml:space="preserve"> PAGEREF _Toc240119423 \h </w:instrText>
            </w:r>
            <w:r>
              <w:rPr>
                <w:noProof/>
                <w:webHidden/>
              </w:rPr>
            </w:r>
            <w:r>
              <w:rPr>
                <w:noProof/>
                <w:webHidden/>
              </w:rPr>
              <w:fldChar w:fldCharType="separate"/>
            </w:r>
            <w:r w:rsidR="00D13CA4">
              <w:rPr>
                <w:noProof/>
                <w:webHidden/>
              </w:rPr>
              <w:t>35</w:t>
            </w:r>
            <w:r>
              <w:rPr>
                <w:noProof/>
                <w:webHidden/>
              </w:rPr>
              <w:fldChar w:fldCharType="end"/>
            </w:r>
          </w:hyperlink>
        </w:p>
        <w:p w14:paraId="75A41E71" w14:textId="7D8024F1" w:rsidR="00CA71F4" w:rsidRDefault="00CA71F4">
          <w:pPr>
            <w:pStyle w:val="TOC3"/>
            <w:tabs>
              <w:tab w:val="right" w:leader="dot" w:pos="9350"/>
            </w:tabs>
            <w:rPr>
              <w:rFonts w:eastAsiaTheme="minorEastAsia"/>
              <w:noProof/>
              <w:sz w:val="24"/>
              <w:szCs w:val="24"/>
            </w:rPr>
          </w:pPr>
          <w:hyperlink w:anchor="_Toc240119424" w:history="1">
            <w:r w:rsidRPr="00032C88">
              <w:rPr>
                <w:rStyle w:val="Hyperlink"/>
                <w:rFonts w:ascii="Calibri" w:hAnsi="Calibri"/>
                <w:noProof/>
              </w:rPr>
              <w:t>2. The column-space bottleneck</w:t>
            </w:r>
            <w:r>
              <w:rPr>
                <w:noProof/>
                <w:webHidden/>
              </w:rPr>
              <w:tab/>
            </w:r>
            <w:r>
              <w:rPr>
                <w:noProof/>
                <w:webHidden/>
              </w:rPr>
              <w:fldChar w:fldCharType="begin"/>
            </w:r>
            <w:r>
              <w:rPr>
                <w:noProof/>
                <w:webHidden/>
              </w:rPr>
              <w:instrText xml:space="preserve"> PAGEREF _Toc240119424 \h </w:instrText>
            </w:r>
            <w:r>
              <w:rPr>
                <w:noProof/>
                <w:webHidden/>
              </w:rPr>
            </w:r>
            <w:r>
              <w:rPr>
                <w:noProof/>
                <w:webHidden/>
              </w:rPr>
              <w:fldChar w:fldCharType="separate"/>
            </w:r>
            <w:r w:rsidR="00D13CA4">
              <w:rPr>
                <w:noProof/>
                <w:webHidden/>
              </w:rPr>
              <w:t>36</w:t>
            </w:r>
            <w:r>
              <w:rPr>
                <w:noProof/>
                <w:webHidden/>
              </w:rPr>
              <w:fldChar w:fldCharType="end"/>
            </w:r>
          </w:hyperlink>
        </w:p>
        <w:p w14:paraId="3430CD3D" w14:textId="46BEDEF1" w:rsidR="00CA71F4" w:rsidRDefault="00CA71F4">
          <w:pPr>
            <w:pStyle w:val="TOC3"/>
            <w:tabs>
              <w:tab w:val="right" w:leader="dot" w:pos="9350"/>
            </w:tabs>
            <w:rPr>
              <w:rFonts w:eastAsiaTheme="minorEastAsia"/>
              <w:noProof/>
              <w:sz w:val="24"/>
              <w:szCs w:val="24"/>
            </w:rPr>
          </w:pPr>
          <w:hyperlink w:anchor="_Toc240119425" w:history="1">
            <w:r w:rsidRPr="00032C88">
              <w:rPr>
                <w:rStyle w:val="Hyperlink"/>
                <w:rFonts w:ascii="Calibri" w:hAnsi="Calibri"/>
                <w:noProof/>
              </w:rPr>
              <w:t>3. The optimal logit vector and the projection error</w:t>
            </w:r>
            <w:r>
              <w:rPr>
                <w:noProof/>
                <w:webHidden/>
              </w:rPr>
              <w:tab/>
            </w:r>
            <w:r>
              <w:rPr>
                <w:noProof/>
                <w:webHidden/>
              </w:rPr>
              <w:fldChar w:fldCharType="begin"/>
            </w:r>
            <w:r>
              <w:rPr>
                <w:noProof/>
                <w:webHidden/>
              </w:rPr>
              <w:instrText xml:space="preserve"> PAGEREF _Toc240119425 \h </w:instrText>
            </w:r>
            <w:r>
              <w:rPr>
                <w:noProof/>
                <w:webHidden/>
              </w:rPr>
            </w:r>
            <w:r>
              <w:rPr>
                <w:noProof/>
                <w:webHidden/>
              </w:rPr>
              <w:fldChar w:fldCharType="separate"/>
            </w:r>
            <w:r w:rsidR="00D13CA4">
              <w:rPr>
                <w:noProof/>
                <w:webHidden/>
              </w:rPr>
              <w:t>36</w:t>
            </w:r>
            <w:r>
              <w:rPr>
                <w:noProof/>
                <w:webHidden/>
              </w:rPr>
              <w:fldChar w:fldCharType="end"/>
            </w:r>
          </w:hyperlink>
        </w:p>
        <w:p w14:paraId="4F3E5E1F" w14:textId="5A8DDD43" w:rsidR="00CA71F4" w:rsidRDefault="00CA71F4">
          <w:pPr>
            <w:pStyle w:val="TOC3"/>
            <w:tabs>
              <w:tab w:val="right" w:leader="dot" w:pos="9350"/>
            </w:tabs>
            <w:rPr>
              <w:rFonts w:eastAsiaTheme="minorEastAsia"/>
              <w:noProof/>
              <w:sz w:val="24"/>
              <w:szCs w:val="24"/>
            </w:rPr>
          </w:pPr>
          <w:hyperlink w:anchor="_Toc240119426" w:history="1">
            <w:r w:rsidRPr="00032C88">
              <w:rPr>
                <w:rStyle w:val="Hyperlink"/>
                <w:rFonts w:ascii="Calibri" w:hAnsi="Calibri"/>
                <w:noProof/>
              </w:rPr>
              <w:t>4. Decomposition: frequency prior + contextual signal</w:t>
            </w:r>
            <w:r>
              <w:rPr>
                <w:noProof/>
                <w:webHidden/>
              </w:rPr>
              <w:tab/>
            </w:r>
            <w:r>
              <w:rPr>
                <w:noProof/>
                <w:webHidden/>
              </w:rPr>
              <w:fldChar w:fldCharType="begin"/>
            </w:r>
            <w:r>
              <w:rPr>
                <w:noProof/>
                <w:webHidden/>
              </w:rPr>
              <w:instrText xml:space="preserve"> PAGEREF _Toc240119426 \h </w:instrText>
            </w:r>
            <w:r>
              <w:rPr>
                <w:noProof/>
                <w:webHidden/>
              </w:rPr>
            </w:r>
            <w:r>
              <w:rPr>
                <w:noProof/>
                <w:webHidden/>
              </w:rPr>
              <w:fldChar w:fldCharType="separate"/>
            </w:r>
            <w:r w:rsidR="00D13CA4">
              <w:rPr>
                <w:noProof/>
                <w:webHidden/>
              </w:rPr>
              <w:t>36</w:t>
            </w:r>
            <w:r>
              <w:rPr>
                <w:noProof/>
                <w:webHidden/>
              </w:rPr>
              <w:fldChar w:fldCharType="end"/>
            </w:r>
          </w:hyperlink>
        </w:p>
        <w:p w14:paraId="26ADB79C" w14:textId="144BC6E8" w:rsidR="00CA71F4" w:rsidRDefault="00CA71F4">
          <w:pPr>
            <w:pStyle w:val="TOC3"/>
            <w:tabs>
              <w:tab w:val="right" w:leader="dot" w:pos="9350"/>
            </w:tabs>
            <w:rPr>
              <w:rFonts w:eastAsiaTheme="minorEastAsia"/>
              <w:noProof/>
              <w:sz w:val="24"/>
              <w:szCs w:val="24"/>
            </w:rPr>
          </w:pPr>
          <w:hyperlink w:anchor="_Toc240119427" w:history="1">
            <w:r w:rsidRPr="00032C88">
              <w:rPr>
                <w:rStyle w:val="Hyperlink"/>
                <w:rFonts w:ascii="Calibri" w:hAnsi="Calibri"/>
                <w:noProof/>
              </w:rPr>
              <w:t>5. Gradient conflict for rare tokens</w:t>
            </w:r>
            <w:r>
              <w:rPr>
                <w:noProof/>
                <w:webHidden/>
              </w:rPr>
              <w:tab/>
            </w:r>
            <w:r>
              <w:rPr>
                <w:noProof/>
                <w:webHidden/>
              </w:rPr>
              <w:fldChar w:fldCharType="begin"/>
            </w:r>
            <w:r>
              <w:rPr>
                <w:noProof/>
                <w:webHidden/>
              </w:rPr>
              <w:instrText xml:space="preserve"> PAGEREF _Toc240119427 \h </w:instrText>
            </w:r>
            <w:r>
              <w:rPr>
                <w:noProof/>
                <w:webHidden/>
              </w:rPr>
            </w:r>
            <w:r>
              <w:rPr>
                <w:noProof/>
                <w:webHidden/>
              </w:rPr>
              <w:fldChar w:fldCharType="separate"/>
            </w:r>
            <w:r w:rsidR="00D13CA4">
              <w:rPr>
                <w:noProof/>
                <w:webHidden/>
              </w:rPr>
              <w:t>37</w:t>
            </w:r>
            <w:r>
              <w:rPr>
                <w:noProof/>
                <w:webHidden/>
              </w:rPr>
              <w:fldChar w:fldCharType="end"/>
            </w:r>
          </w:hyperlink>
        </w:p>
        <w:p w14:paraId="7169A82C" w14:textId="23D81CF7" w:rsidR="00CA71F4" w:rsidRDefault="00CA71F4">
          <w:pPr>
            <w:pStyle w:val="TOC3"/>
            <w:tabs>
              <w:tab w:val="right" w:leader="dot" w:pos="9350"/>
            </w:tabs>
            <w:rPr>
              <w:rFonts w:eastAsiaTheme="minorEastAsia"/>
              <w:noProof/>
              <w:sz w:val="24"/>
              <w:szCs w:val="24"/>
            </w:rPr>
          </w:pPr>
          <w:hyperlink w:anchor="_Toc240119428" w:history="1">
            <w:r w:rsidRPr="00032C88">
              <w:rPr>
                <w:rStyle w:val="Hyperlink"/>
                <w:rFonts w:ascii="Calibri" w:hAnsi="Calibri"/>
                <w:noProof/>
              </w:rPr>
              <w:t>6. A lower bound on the excess CE from tying</w:t>
            </w:r>
            <w:r>
              <w:rPr>
                <w:noProof/>
                <w:webHidden/>
              </w:rPr>
              <w:tab/>
            </w:r>
            <w:r>
              <w:rPr>
                <w:noProof/>
                <w:webHidden/>
              </w:rPr>
              <w:fldChar w:fldCharType="begin"/>
            </w:r>
            <w:r>
              <w:rPr>
                <w:noProof/>
                <w:webHidden/>
              </w:rPr>
              <w:instrText xml:space="preserve"> PAGEREF _Toc240119428 \h </w:instrText>
            </w:r>
            <w:r>
              <w:rPr>
                <w:noProof/>
                <w:webHidden/>
              </w:rPr>
            </w:r>
            <w:r>
              <w:rPr>
                <w:noProof/>
                <w:webHidden/>
              </w:rPr>
              <w:fldChar w:fldCharType="separate"/>
            </w:r>
            <w:r w:rsidR="00D13CA4">
              <w:rPr>
                <w:noProof/>
                <w:webHidden/>
              </w:rPr>
              <w:t>37</w:t>
            </w:r>
            <w:r>
              <w:rPr>
                <w:noProof/>
                <w:webHidden/>
              </w:rPr>
              <w:fldChar w:fldCharType="end"/>
            </w:r>
          </w:hyperlink>
        </w:p>
        <w:p w14:paraId="7D658B47" w14:textId="77D55E4E" w:rsidR="00CA71F4" w:rsidRDefault="00CA71F4">
          <w:pPr>
            <w:pStyle w:val="TOC3"/>
            <w:tabs>
              <w:tab w:val="right" w:leader="dot" w:pos="9350"/>
            </w:tabs>
            <w:rPr>
              <w:rFonts w:eastAsiaTheme="minorEastAsia"/>
              <w:noProof/>
              <w:sz w:val="24"/>
              <w:szCs w:val="24"/>
            </w:rPr>
          </w:pPr>
          <w:hyperlink w:anchor="_Toc240119429" w:history="1">
            <w:r w:rsidRPr="00032C88">
              <w:rPr>
                <w:rStyle w:val="Hyperlink"/>
                <w:rFonts w:ascii="Calibri" w:hAnsi="Calibri"/>
                <w:noProof/>
              </w:rPr>
              <w:t>7. Why this is worse for Fock-PARFLM than for transformers</w:t>
            </w:r>
            <w:r>
              <w:rPr>
                <w:noProof/>
                <w:webHidden/>
              </w:rPr>
              <w:tab/>
            </w:r>
            <w:r>
              <w:rPr>
                <w:noProof/>
                <w:webHidden/>
              </w:rPr>
              <w:fldChar w:fldCharType="begin"/>
            </w:r>
            <w:r>
              <w:rPr>
                <w:noProof/>
                <w:webHidden/>
              </w:rPr>
              <w:instrText xml:space="preserve"> PAGEREF _Toc240119429 \h </w:instrText>
            </w:r>
            <w:r>
              <w:rPr>
                <w:noProof/>
                <w:webHidden/>
              </w:rPr>
            </w:r>
            <w:r>
              <w:rPr>
                <w:noProof/>
                <w:webHidden/>
              </w:rPr>
              <w:fldChar w:fldCharType="separate"/>
            </w:r>
            <w:r w:rsidR="00D13CA4">
              <w:rPr>
                <w:noProof/>
                <w:webHidden/>
              </w:rPr>
              <w:t>38</w:t>
            </w:r>
            <w:r>
              <w:rPr>
                <w:noProof/>
                <w:webHidden/>
              </w:rPr>
              <w:fldChar w:fldCharType="end"/>
            </w:r>
          </w:hyperlink>
        </w:p>
        <w:p w14:paraId="3B9D2731" w14:textId="59158142" w:rsidR="00CA71F4" w:rsidRDefault="00CA71F4">
          <w:pPr>
            <w:pStyle w:val="TOC3"/>
            <w:tabs>
              <w:tab w:val="right" w:leader="dot" w:pos="9350"/>
            </w:tabs>
            <w:rPr>
              <w:rFonts w:eastAsiaTheme="minorEastAsia"/>
              <w:noProof/>
              <w:sz w:val="24"/>
              <w:szCs w:val="24"/>
            </w:rPr>
          </w:pPr>
          <w:hyperlink w:anchor="_Toc240119430" w:history="1">
            <w:r w:rsidRPr="00032C88">
              <w:rPr>
                <w:rStyle w:val="Hyperlink"/>
                <w:rFonts w:ascii="Calibri" w:hAnsi="Calibri"/>
                <w:noProof/>
              </w:rPr>
              <w:t>8. Connection to D0.4</w:t>
            </w:r>
            <w:r>
              <w:rPr>
                <w:noProof/>
                <w:webHidden/>
              </w:rPr>
              <w:tab/>
            </w:r>
            <w:r>
              <w:rPr>
                <w:noProof/>
                <w:webHidden/>
              </w:rPr>
              <w:fldChar w:fldCharType="begin"/>
            </w:r>
            <w:r>
              <w:rPr>
                <w:noProof/>
                <w:webHidden/>
              </w:rPr>
              <w:instrText xml:space="preserve"> PAGEREF _Toc240119430 \h </w:instrText>
            </w:r>
            <w:r>
              <w:rPr>
                <w:noProof/>
                <w:webHidden/>
              </w:rPr>
            </w:r>
            <w:r>
              <w:rPr>
                <w:noProof/>
                <w:webHidden/>
              </w:rPr>
              <w:fldChar w:fldCharType="separate"/>
            </w:r>
            <w:r w:rsidR="00D13CA4">
              <w:rPr>
                <w:noProof/>
                <w:webHidden/>
              </w:rPr>
              <w:t>38</w:t>
            </w:r>
            <w:r>
              <w:rPr>
                <w:noProof/>
                <w:webHidden/>
              </w:rPr>
              <w:fldChar w:fldCharType="end"/>
            </w:r>
          </w:hyperlink>
        </w:p>
        <w:p w14:paraId="01E62C9B" w14:textId="0281C4EA" w:rsidR="00CA71F4" w:rsidRDefault="00CA71F4">
          <w:r>
            <w:rPr>
              <w:b/>
              <w:bCs/>
              <w:noProof/>
            </w:rPr>
            <w:fldChar w:fldCharType="end"/>
          </w:r>
        </w:p>
      </w:sdtContent>
    </w:sdt>
    <w:p w14:paraId="1CB3B189" w14:textId="77777777" w:rsidR="00D5238E" w:rsidRDefault="00D5238E"/>
    <w:p w14:paraId="34AEA757" w14:textId="77777777" w:rsidR="00D5238E" w:rsidRDefault="00D5238E"/>
    <w:p w14:paraId="2B5694E4" w14:textId="77777777" w:rsidR="001E368C" w:rsidRDefault="00A02B48" w:rsidP="00625ABB">
      <w:pPr>
        <w:pStyle w:val="Heading1"/>
      </w:pPr>
      <w:bookmarkStart w:id="0" w:name="_Toc240119362"/>
      <w:r>
        <w:t>Motivation</w:t>
      </w:r>
      <w:bookmarkEnd w:id="0"/>
    </w:p>
    <w:p w14:paraId="339AB1F7" w14:textId="77777777" w:rsidR="00A02B48" w:rsidRDefault="00A02B48"/>
    <w:p w14:paraId="50AA20FA" w14:textId="77777777" w:rsidR="006D581F" w:rsidRDefault="006D581F" w:rsidP="006D581F">
      <w:pPr>
        <w:pStyle w:val="Heading2"/>
      </w:pPr>
      <w:bookmarkStart w:id="1" w:name="_Toc240119363"/>
      <w:r>
        <w:t>Potential Wells as Energy Landscapes</w:t>
      </w:r>
      <w:bookmarkEnd w:id="1"/>
    </w:p>
    <w:p w14:paraId="29C00544" w14:textId="77777777" w:rsidR="006D581F" w:rsidRDefault="006D581F" w:rsidP="006D581F"/>
    <w:p w14:paraId="4696D180" w14:textId="77777777" w:rsidR="006D581F" w:rsidRPr="00861F17" w:rsidRDefault="00861F17" w:rsidP="006D581F">
      <w:pPr>
        <w:rPr>
          <w:u w:val="single"/>
        </w:rPr>
      </w:pPr>
      <w:r w:rsidRPr="00861F17">
        <w:rPr>
          <w:u w:val="single"/>
        </w:rPr>
        <w:t>Scalar fields and force</w:t>
      </w:r>
    </w:p>
    <w:p w14:paraId="22F00680" w14:textId="77777777" w:rsidR="00861F17" w:rsidRDefault="00861F17" w:rsidP="006D581F"/>
    <w:p w14:paraId="6D361EA9" w14:textId="77777777" w:rsidR="00922629" w:rsidRDefault="00922629" w:rsidP="006D581F">
      <w:r>
        <w:t xml:space="preserve">A </w:t>
      </w:r>
      <w:r w:rsidRPr="00922629">
        <w:rPr>
          <w:i/>
          <w:iCs/>
        </w:rPr>
        <w:t>potential energy function</w:t>
      </w:r>
      <w:r>
        <w:t xml:space="preserve"> (or simply </w:t>
      </w:r>
      <w:r w:rsidRPr="00922629">
        <w:rPr>
          <w:i/>
          <w:iCs/>
        </w:rPr>
        <w:t>potential</w:t>
      </w:r>
      <w:r>
        <w:t>) is a scalar field over a state space:</w:t>
      </w:r>
    </w:p>
    <w:p w14:paraId="50432225" w14:textId="77777777" w:rsidR="00922629" w:rsidRDefault="00922629" w:rsidP="006D581F"/>
    <w:p w14:paraId="3A81BCE2" w14:textId="77777777" w:rsidR="00922629" w:rsidRDefault="00922629" w:rsidP="006D581F">
      <w:pPr>
        <w:rPr>
          <w:rFonts w:eastAsiaTheme="minorEastAsia"/>
        </w:rPr>
      </w:pPr>
      <m:oMath>
        <m:r>
          <w:rPr>
            <w:rFonts w:ascii="Cambria Math" w:hAnsi="Cambria Math"/>
          </w:rPr>
          <m:t>V</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r>
          <m:rPr>
            <m:scr m:val="double-struck"/>
          </m:rPr>
          <w:rPr>
            <w:rFonts w:ascii="Cambria Math" w:eastAsiaTheme="minorEastAsia" w:hAnsi="Cambria Math"/>
          </w:rPr>
          <m:t>→R</m:t>
        </m:r>
      </m:oMath>
      <w:r>
        <w:rPr>
          <w:rFonts w:eastAsiaTheme="minorEastAsia"/>
        </w:rPr>
        <w:t xml:space="preserve"> </w:t>
      </w:r>
    </w:p>
    <w:p w14:paraId="1E3802F8" w14:textId="77777777" w:rsidR="00C93BBD" w:rsidRDefault="00000000">
      <w:r>
        <w:t xml:space="preserve">At any point </w:t>
      </w:r>
      <m:oMath>
        <m:r>
          <w:rPr>
            <w:rFonts w:ascii="Cambria Math" w:hAnsi="Cambria Math"/>
          </w:rPr>
          <m:t>x</m:t>
        </m:r>
      </m:oMath>
      <w:r>
        <w:t xml:space="preserve"> the </w:t>
      </w:r>
      <w:r>
        <w:rPr>
          <w:b/>
          <w:bCs/>
        </w:rPr>
        <w:t>force</w:t>
      </w:r>
      <w:r>
        <w:t xml:space="preserve"> is the negative gradient of the potential,</w:t>
      </w:r>
    </w:p>
    <w:p w14:paraId="65D6A7E7" w14:textId="77777777" w:rsidR="00C93BBD" w:rsidRDefault="00000000">
      <m:oMathPara>
        <m:oMathParaPr>
          <m:jc m:val="center"/>
        </m:oMathPara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76F43184" w14:textId="77777777" w:rsidR="00C93BBD" w:rsidRDefault="00000000">
      <w:r>
        <w:t xml:space="preserve">which is the defining property of a </w:t>
      </w:r>
      <w:r>
        <w:rPr>
          <w:b/>
          <w:bCs/>
        </w:rPr>
        <w:t>conservative force field</w:t>
      </w:r>
      <w:r>
        <w:t xml:space="preserve">: the work done along any closed path is zero, and the force is completely determined by the scalar potential. This is the structural reason a scalar </w:t>
      </w:r>
      <m:oMath>
        <m:r>
          <w:rPr>
            <w:rFonts w:ascii="Cambria Math" w:hAnsi="Cambria Math"/>
          </w:rPr>
          <m:t>V</m:t>
        </m:r>
      </m:oMath>
      <w:r>
        <w:t xml:space="preserve"> is worth learning at all — a single scalar field determines an entire </w:t>
      </w:r>
      <m:oMath>
        <m:r>
          <w:rPr>
            <w:rFonts w:ascii="Cambria Math" w:hAnsi="Cambria Math"/>
          </w:rPr>
          <m:t>d</m:t>
        </m:r>
      </m:oMath>
      <w:r>
        <w:t>-dimensional force law, and any force law obtained this way is conservative by construction.</w:t>
      </w:r>
    </w:p>
    <w:p w14:paraId="111C84AD" w14:textId="77777777" w:rsidR="00C93BBD" w:rsidRDefault="00000000">
      <w:r>
        <w:t xml:space="preserve">A </w:t>
      </w:r>
      <w:r>
        <w:rPr>
          <w:b/>
          <w:bCs/>
        </w:rPr>
        <w:t>potential well</w:t>
      </w:r>
      <w:r>
        <w:t xml:space="preserve"> is a local minimum of </w:t>
      </w:r>
      <m:oMath>
        <m:r>
          <w:rPr>
            <w:rFonts w:ascii="Cambria Math" w:hAnsi="Cambria Math"/>
          </w:rPr>
          <m:t>V</m:t>
        </m:r>
      </m:oMath>
      <w:r>
        <w:t xml:space="preserve">. At a minimum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w:t>
      </w:r>
    </w:p>
    <w:p w14:paraId="0E1A8DBC" w14:textId="77777777" w:rsidR="00C93BBD" w:rsidRDefault="00000000">
      <m:oMathPara>
        <m:oMathParaPr>
          <m:jc m:val="center"/>
        </m:oMathParaPr>
        <m:oMath>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oMath>
      </m:oMathPara>
    </w:p>
    <w:p w14:paraId="2BBC1135" w14:textId="77777777" w:rsidR="00C93BBD" w:rsidRDefault="00000000">
      <w:r>
        <w:t xml:space="preserve">so the Hessian is positive definite and the force points “downhill” toward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from every nearby direction. A particle released near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in the presence of friction settles into it. The </w:t>
      </w:r>
      <w:r>
        <w:rPr>
          <w:b/>
          <w:bCs/>
        </w:rPr>
        <w:t>depth</w:t>
      </w:r>
      <w:r>
        <w:t xml:space="preserve"> of the well determines how strongly the particle is captured; the </w:t>
      </w:r>
      <w:r>
        <w:rPr>
          <w:b/>
          <w:bCs/>
        </w:rPr>
        <w:t>curvature</w:t>
      </w:r>
      <w:r>
        <w:t xml:space="preserve"> — the spectrum of </w:t>
      </w:r>
      <m:oMath>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xml:space="preserve"> — determines how quickly it settles, and, as later sections develop, how stiff the resulting dynamics are for a numerical integrator.</w:t>
      </w:r>
    </w:p>
    <w:p w14:paraId="68ECE2A9" w14:textId="77777777" w:rsidR="00C93BBD" w:rsidRDefault="00000000">
      <w:r>
        <w:t xml:space="preserve">The governing image is a ball rolling on a hilly surface under gravity with friction: position is the state </w:t>
      </w:r>
      <m:oMath>
        <m:r>
          <w:rPr>
            <w:rFonts w:ascii="Cambria Math" w:hAnsi="Cambria Math"/>
          </w:rPr>
          <m:t>x</m:t>
        </m:r>
      </m:oMath>
      <w:r>
        <w:t xml:space="preserve">, height is the potential </w:t>
      </w:r>
      <m:oMath>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the gravitational component along the slope is the force </w:t>
      </w:r>
      <m:oMath>
        <m:r>
          <w:rPr>
            <w:rFonts w:ascii="Cambria Math" w:hAnsi="Cambria Math"/>
          </w:rPr>
          <m:t>F</m:t>
        </m:r>
        <m:r>
          <m:rPr>
            <m:sty m:val="p"/>
          </m:rPr>
          <w:rPr>
            <w:rFonts w:ascii="Cambria Math" w:hAnsi="Cambria Math"/>
          </w:rPr>
          <m:t>=-∇</m:t>
        </m:r>
        <m:r>
          <w:rPr>
            <w:rFonts w:ascii="Cambria Math" w:hAnsi="Cambria Math"/>
          </w:rPr>
          <m:t>V</m:t>
        </m:r>
      </m:oMath>
      <w:r>
        <w:t xml:space="preserve">, friction is the damping </w:t>
      </w:r>
      <m:oMath>
        <m:r>
          <w:rPr>
            <w:rFonts w:ascii="Cambria Math" w:hAnsi="Cambria Math"/>
          </w:rPr>
          <m:t>γ</m:t>
        </m:r>
      </m:oMath>
      <w:r>
        <w:t xml:space="preserve"> that dissipates kinetic energy, and equilibrium is the ball at rest at the bottom of a valley. Without friction the ball oscillates indefinitely; with too much friction it barely moves (the overdamped regime); at critical damping it slides into the minimum in the shortest time.</w:t>
      </w:r>
    </w:p>
    <w:p w14:paraId="62C06760" w14:textId="77777777" w:rsidR="00C93BBD" w:rsidRDefault="00000000">
      <w:r>
        <w:lastRenderedPageBreak/>
        <w:t xml:space="preserve">A complex potential over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therefore defines an </w:t>
      </w:r>
      <w:r>
        <w:rPr>
          <w:b/>
          <w:bCs/>
        </w:rPr>
        <w:t>energy landscape</w:t>
      </w:r>
      <w:r>
        <w:t xml:space="preserve"> — a </w:t>
      </w:r>
      <m:oMath>
        <m:r>
          <w:rPr>
            <w:rFonts w:ascii="Cambria Math" w:hAnsi="Cambria Math"/>
          </w:rPr>
          <m:t>d</m:t>
        </m:r>
      </m:oMath>
      <w:r>
        <w:t xml:space="preserve">-dimensional surface with valleys (wells, the stable attractors), ridges (local maxima, unstable repellers), saddle points (the passes between valleys, which act as transition states), and a global minimum (the ground state). The dynamics of any system governed by </w:t>
      </w:r>
      <m:oMath>
        <m:r>
          <w:rPr>
            <w:rFonts w:ascii="Cambria Math" w:hAnsi="Cambria Math"/>
          </w:rPr>
          <m:t>V</m:t>
        </m:r>
      </m:oMath>
      <w:r>
        <w:t xml:space="preserve"> is motion on that landscape, and the remainder of this document is concerned with how such a landscape is parameterised, learned, and integrated.</w:t>
      </w:r>
    </w:p>
    <w:p w14:paraId="0A4AC2FE" w14:textId="77777777" w:rsidR="006D581F" w:rsidRDefault="006D581F"/>
    <w:p w14:paraId="71273A13" w14:textId="77777777" w:rsidR="006D581F" w:rsidRDefault="006D581F"/>
    <w:p w14:paraId="08EBE6C3" w14:textId="77777777" w:rsidR="006009A9" w:rsidRDefault="006009A9" w:rsidP="006009A9">
      <w:pPr>
        <w:pStyle w:val="Heading2"/>
      </w:pPr>
      <w:bookmarkStart w:id="2" w:name="_Toc240119364"/>
      <w:r>
        <w:t>Semantic Attractor Extraction Algorithm</w:t>
      </w:r>
      <w:bookmarkEnd w:id="2"/>
    </w:p>
    <w:p w14:paraId="5D00840E" w14:textId="77777777" w:rsidR="006009A9" w:rsidRDefault="006009A9"/>
    <w:p w14:paraId="77D6F648" w14:textId="77777777" w:rsidR="008A7142" w:rsidRDefault="008A7142">
      <w:pPr>
        <w:rPr>
          <w:rFonts w:eastAsiaTheme="minorEastAsia"/>
        </w:rPr>
      </w:pPr>
      <w:r>
        <w:t xml:space="preserve">The Semantic Simulation framework asserts that a trained Scalar Potential Language Model </w:t>
      </w:r>
      <w:r w:rsidR="009A30D9">
        <w:t xml:space="preserve">does not just </w:t>
      </w:r>
      <w:r w:rsidR="009A30D9" w:rsidRPr="009A30D9">
        <w:rPr>
          <w:i/>
          <w:iCs/>
        </w:rPr>
        <w:t>predict</w:t>
      </w:r>
      <w:r w:rsidR="009A30D9">
        <w:t xml:space="preserve"> the next token; it learns a </w:t>
      </w:r>
      <w:r w:rsidR="009A30D9" w:rsidRPr="009A30D9">
        <w:rPr>
          <w:b/>
          <w:bCs/>
        </w:rPr>
        <w:t>semantic landscape</w:t>
      </w:r>
      <w:r w:rsidR="009A30D9">
        <w:t xml:space="preserve"> – a scalar field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A30D9">
        <w:rPr>
          <w:rFonts w:eastAsiaTheme="minorEastAsia"/>
        </w:rPr>
        <w:t xml:space="preserve"> over the joint space of contexts </w:t>
      </w:r>
      <m:oMath>
        <m:r>
          <w:rPr>
            <w:rFonts w:ascii="Cambria Math" w:hAnsi="Cambria Math"/>
          </w:rPr>
          <m:t>ξ</m:t>
        </m:r>
      </m:oMath>
      <w:r w:rsidR="009A30D9">
        <w:rPr>
          <w:rFonts w:eastAsiaTheme="minorEastAsia"/>
        </w:rPr>
        <w:t xml:space="preserve"> and hidden states </w:t>
      </w:r>
      <m:oMath>
        <m:r>
          <w:rPr>
            <w:rFonts w:ascii="Cambria Math" w:hAnsi="Cambria Math"/>
          </w:rPr>
          <m:t>h</m:t>
        </m:r>
      </m:oMath>
      <w:r w:rsidR="009A30D9">
        <w:rPr>
          <w:rFonts w:eastAsiaTheme="minorEastAsia"/>
        </w:rPr>
        <w:t xml:space="preserve"> – whose </w:t>
      </w:r>
      <w:r w:rsidR="009A30D9" w:rsidRPr="00F22472">
        <w:rPr>
          <w:rFonts w:eastAsiaTheme="minorEastAsia"/>
          <w:b/>
          <w:bCs/>
        </w:rPr>
        <w:t>local minima</w:t>
      </w:r>
      <w:r w:rsidR="009A30D9">
        <w:rPr>
          <w:rFonts w:eastAsiaTheme="minorEastAsia"/>
        </w:rPr>
        <w:t xml:space="preserve"> correspond to coherent semantic configurations. </w:t>
      </w:r>
    </w:p>
    <w:p w14:paraId="0CB32943" w14:textId="77777777" w:rsidR="009A30D9" w:rsidRDefault="009A30D9">
      <w:pPr>
        <w:rPr>
          <w:rFonts w:eastAsiaTheme="minorEastAsia"/>
        </w:rPr>
      </w:pPr>
    </w:p>
    <w:p w14:paraId="5042A19E" w14:textId="77777777" w:rsidR="004F4384" w:rsidRDefault="004F4384">
      <w:pPr>
        <w:rPr>
          <w:rFonts w:eastAsiaTheme="minorEastAsia"/>
        </w:rPr>
      </w:pPr>
      <w:r>
        <w:rPr>
          <w:rFonts w:eastAsiaTheme="minorEastAsia"/>
        </w:rPr>
        <w:t xml:space="preserve">This is a strong claim. Attention transformers have no analogue of it : their next-token logits are produced by a single matrix multiplication, not by an energy minimization, so they cannot, even in principle, expose a basin structure of “topics the model has internalized”. </w:t>
      </w:r>
      <w:r w:rsidR="00961DEB">
        <w:rPr>
          <w:rFonts w:eastAsiaTheme="minorEastAsia"/>
        </w:rPr>
        <w:t xml:space="preserve">If the </w:t>
      </w:r>
      <w:r w:rsidR="006463D6">
        <w:rPr>
          <w:rFonts w:eastAsiaTheme="minorEastAsia"/>
        </w:rPr>
        <w:t>SPLM picture is right , we should be able to :</w:t>
      </w:r>
    </w:p>
    <w:p w14:paraId="273EFFAB" w14:textId="77777777" w:rsidR="006463D6" w:rsidRDefault="006463D6">
      <w:pPr>
        <w:rPr>
          <w:rFonts w:eastAsiaTheme="minorEastAsia"/>
        </w:rPr>
      </w:pPr>
    </w:p>
    <w:p w14:paraId="36E311B9" w14:textId="77777777" w:rsidR="006463D6" w:rsidRDefault="007133CC">
      <w:pPr>
        <w:rPr>
          <w:rFonts w:eastAsiaTheme="minorEastAsia"/>
        </w:rPr>
      </w:pPr>
      <w:r>
        <w:t xml:space="preserve"> 1. Fix a context </w:t>
      </w:r>
      <m:oMath>
        <m:box>
          <m:boxPr>
            <m:ctrlPr>
              <w:rPr>
                <w:rFonts w:ascii="Cambria Math" w:hAnsi="Cambria Math"/>
              </w:rPr>
            </m:ctrlPr>
          </m:boxPr>
          <m:e>
            <m:r>
              <w:rPr>
                <w:rFonts w:ascii="Cambria Math" w:hAnsi="Cambria Math"/>
              </w:rPr>
              <m:t>ξ</m:t>
            </m:r>
          </m:e>
        </m:box>
      </m:oMath>
      <w:r>
        <w:t xml:space="preserve"> (e.g. the cumulative mean of an English prefix)</w:t>
      </w:r>
    </w:p>
    <w:p w14:paraId="402BAE70" w14:textId="77777777" w:rsidR="007133CC" w:rsidRDefault="007133CC">
      <w:pPr>
        <w:rPr>
          <w:rFonts w:eastAsiaTheme="minorEastAsia"/>
        </w:rPr>
      </w:pPr>
      <w:r>
        <w:rPr>
          <w:rFonts w:eastAsiaTheme="minorEastAsia"/>
        </w:rPr>
        <w:t xml:space="preserve"> 2. </w:t>
      </w:r>
      <w:r w:rsidR="006009A9">
        <w:rPr>
          <w:rFonts w:eastAsiaTheme="minorEastAsia"/>
        </w:rPr>
        <w:t xml:space="preserve">start from many random hidden states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p>
    <w:p w14:paraId="66CFDC6C" w14:textId="77777777" w:rsidR="006009A9" w:rsidRDefault="006009A9">
      <w:pPr>
        <w:rPr>
          <w:rFonts w:eastAsiaTheme="minorEastAsia"/>
        </w:rPr>
      </w:pPr>
      <w:r>
        <w:rPr>
          <w:rFonts w:eastAsiaTheme="minorEastAsia"/>
        </w:rPr>
        <w:t xml:space="preserve"> 3. follow the gradient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8F5AC6">
        <w:rPr>
          <w:rFonts w:eastAsiaTheme="minorEastAsia"/>
        </w:rPr>
        <w:t xml:space="preserve"> to convergence</w:t>
      </w:r>
    </w:p>
    <w:p w14:paraId="4F47FDFD" w14:textId="77777777" w:rsidR="008F5AC6" w:rsidRDefault="008F5AC6">
      <w:pPr>
        <w:rPr>
          <w:rFonts w:eastAsiaTheme="minorEastAsia"/>
        </w:rPr>
      </w:pPr>
      <w:r>
        <w:rPr>
          <w:rFonts w:eastAsiaTheme="minorEastAsia"/>
        </w:rPr>
        <w:t xml:space="preserve"> 4. </w:t>
      </w:r>
      <w:r w:rsidR="002868B1">
        <w:rPr>
          <w:rFonts w:eastAsiaTheme="minorEastAsia"/>
        </w:rPr>
        <w:t xml:space="preserve">read out the converged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2868B1">
        <w:rPr>
          <w:rFonts w:eastAsiaTheme="minorEastAsia"/>
        </w:rPr>
        <w:t xml:space="preserve"> through the tied LM head</w:t>
      </w:r>
      <w:r w:rsidR="002734A6">
        <w:rPr>
          <w:rStyle w:val="FootnoteReference"/>
          <w:rFonts w:eastAsiaTheme="minorEastAsia"/>
        </w:rPr>
        <w:footnoteReference w:id="1"/>
      </w:r>
    </w:p>
    <w:p w14:paraId="17E7BC30" w14:textId="77777777" w:rsidR="009A30D9" w:rsidRDefault="009A30D9"/>
    <w:p w14:paraId="302B38C8" w14:textId="77777777" w:rsidR="008A7142" w:rsidRDefault="00662B88">
      <w:r>
        <w:t xml:space="preserve">The following experiment was conducted in </w:t>
      </w:r>
      <w:r w:rsidR="00990B46">
        <w:t>order to extract semantic attractors</w:t>
      </w:r>
    </w:p>
    <w:p w14:paraId="052E251B" w14:textId="77777777" w:rsidR="00990B46" w:rsidRDefault="00990B46"/>
    <w:p w14:paraId="5652251E" w14:textId="77777777" w:rsidR="00990B46" w:rsidRDefault="00990B46">
      <w:r>
        <w:t xml:space="preserve">We use two trained SPLM checkpoints from the Tiny-Shakespeare run with vocabulary = GPT-2 BPE, </w:t>
      </w:r>
      <m:oMath>
        <m:r>
          <w:rPr>
            <w:rFonts w:ascii="Cambria Math" w:hAnsi="Cambria Math"/>
          </w:rPr>
          <m:t>d = 128</m:t>
        </m:r>
      </m:oMath>
      <w:r>
        <w:t xml:space="preserve">, mass-mode = </w:t>
      </w:r>
      <w:r w:rsidRPr="00990B46">
        <w:rPr>
          <w:rFonts w:ascii="Consolas" w:hAnsi="Consolas" w:cs="Consolas"/>
          <w:sz w:val="17"/>
          <w:szCs w:val="17"/>
        </w:rPr>
        <w:t>logfreq</w:t>
      </w:r>
      <w:r>
        <w:t>.</w:t>
      </w:r>
    </w:p>
    <w:p w14:paraId="2866E576" w14:textId="77777777" w:rsidR="00990B46" w:rsidRDefault="00990B46"/>
    <w:tbl>
      <w:tblPr>
        <w:tblStyle w:val="TableGrid"/>
        <w:tblW w:w="0" w:type="auto"/>
        <w:tblLook w:val="04A0" w:firstRow="1" w:lastRow="0" w:firstColumn="1" w:lastColumn="0" w:noHBand="0" w:noVBand="1"/>
      </w:tblPr>
      <w:tblGrid>
        <w:gridCol w:w="1870"/>
        <w:gridCol w:w="1870"/>
        <w:gridCol w:w="1870"/>
        <w:gridCol w:w="1870"/>
        <w:gridCol w:w="1870"/>
      </w:tblGrid>
      <w:tr w:rsidR="00D8753C" w14:paraId="70F504D9" w14:textId="77777777" w:rsidTr="00D8753C">
        <w:tc>
          <w:tcPr>
            <w:tcW w:w="1870" w:type="dxa"/>
          </w:tcPr>
          <w:p w14:paraId="0E7DB97C" w14:textId="77777777" w:rsidR="00D8753C" w:rsidRPr="00D8753C" w:rsidRDefault="00D8753C" w:rsidP="00B73D3E">
            <w:pPr>
              <w:keepNext/>
              <w:keepLines/>
              <w:rPr>
                <w:b/>
                <w:bCs/>
              </w:rPr>
            </w:pPr>
            <w:r w:rsidRPr="00D8753C">
              <w:rPr>
                <w:b/>
                <w:bCs/>
              </w:rPr>
              <w:t>name</w:t>
            </w:r>
          </w:p>
        </w:tc>
        <w:tc>
          <w:tcPr>
            <w:tcW w:w="1870" w:type="dxa"/>
          </w:tcPr>
          <w:p w14:paraId="084186D1" w14:textId="77777777" w:rsidR="00D8753C" w:rsidRPr="00D8753C" w:rsidRDefault="00D8753C" w:rsidP="00B73D3E">
            <w:pPr>
              <w:keepNext/>
              <w:keepLines/>
              <w:rPr>
                <w:b/>
                <w:bCs/>
              </w:rPr>
            </w:pPr>
            <w:r w:rsidRPr="00D8753C">
              <w:rPr>
                <w:b/>
                <w:bCs/>
              </w:rPr>
              <w:t>integrator</w:t>
            </w:r>
          </w:p>
        </w:tc>
        <w:tc>
          <w:tcPr>
            <w:tcW w:w="1870" w:type="dxa"/>
          </w:tcPr>
          <w:p w14:paraId="54DDBF50" w14:textId="77777777" w:rsidR="00D8753C" w:rsidRDefault="00D8753C" w:rsidP="00B73D3E">
            <w:pPr>
              <w:keepNext/>
              <w:keepLines/>
            </w:pPr>
            <m:oMathPara>
              <m:oMath>
                <m:r>
                  <w:rPr>
                    <w:rFonts w:ascii="Cambria Math" w:hAnsi="Cambria Math"/>
                  </w:rPr>
                  <m:t>L</m:t>
                </m:r>
              </m:oMath>
            </m:oMathPara>
          </w:p>
        </w:tc>
        <w:tc>
          <w:tcPr>
            <w:tcW w:w="1870" w:type="dxa"/>
          </w:tcPr>
          <w:p w14:paraId="5A015387" w14:textId="77777777" w:rsidR="00D8753C" w:rsidRDefault="00D8753C" w:rsidP="00B73D3E">
            <w:pPr>
              <w:keepNext/>
              <w:keepLines/>
            </w:pPr>
            <m:oMathPara>
              <m:oMath>
                <m:r>
                  <w:rPr>
                    <w:rFonts w:ascii="Cambria Math" w:hAnsi="Cambria Math"/>
                  </w:rPr>
                  <m:t>∆t</m:t>
                </m:r>
              </m:oMath>
            </m:oMathPara>
          </w:p>
        </w:tc>
        <w:tc>
          <w:tcPr>
            <w:tcW w:w="1870" w:type="dxa"/>
          </w:tcPr>
          <w:p w14:paraId="7FEE385B" w14:textId="77777777" w:rsidR="00D8753C" w:rsidRPr="00D8753C" w:rsidRDefault="00D8753C" w:rsidP="00B73D3E">
            <w:pPr>
              <w:keepNext/>
              <w:keepLines/>
              <w:rPr>
                <w:b/>
                <w:bCs/>
              </w:rPr>
            </w:pPr>
            <w:r w:rsidRPr="00D8753C">
              <w:rPr>
                <w:b/>
                <w:bCs/>
              </w:rPr>
              <w:t>Val PPL</w:t>
            </w:r>
          </w:p>
        </w:tc>
      </w:tr>
      <w:tr w:rsidR="00D8753C" w14:paraId="458D2C58" w14:textId="77777777" w:rsidTr="00D8753C">
        <w:tc>
          <w:tcPr>
            <w:tcW w:w="1870" w:type="dxa"/>
          </w:tcPr>
          <w:p w14:paraId="02C7FA89" w14:textId="77777777" w:rsidR="00D8753C" w:rsidRDefault="00D8753C" w:rsidP="00B73D3E">
            <w:pPr>
              <w:keepNext/>
              <w:keepLines/>
            </w:pPr>
            <w:r>
              <w:t>Euler L=8</w:t>
            </w:r>
          </w:p>
        </w:tc>
        <w:tc>
          <w:tcPr>
            <w:tcW w:w="1870" w:type="dxa"/>
          </w:tcPr>
          <w:p w14:paraId="4CE31D6E" w14:textId="77777777" w:rsidR="00D8753C" w:rsidRDefault="00D8753C" w:rsidP="00B73D3E">
            <w:pPr>
              <w:keepNext/>
              <w:keepLines/>
            </w:pPr>
            <w:r>
              <w:t>Semi-implicit Euler (SARF-mass)</w:t>
            </w:r>
          </w:p>
        </w:tc>
        <w:tc>
          <w:tcPr>
            <w:tcW w:w="1870" w:type="dxa"/>
          </w:tcPr>
          <w:p w14:paraId="3FECDFA0" w14:textId="77777777" w:rsidR="00D8753C" w:rsidRDefault="00D8753C" w:rsidP="00B73D3E">
            <w:pPr>
              <w:keepNext/>
              <w:keepLines/>
            </w:pPr>
            <w:r>
              <w:t>8</w:t>
            </w:r>
          </w:p>
        </w:tc>
        <w:tc>
          <w:tcPr>
            <w:tcW w:w="1870" w:type="dxa"/>
          </w:tcPr>
          <w:p w14:paraId="7D4BE5B9" w14:textId="77777777" w:rsidR="00D8753C" w:rsidRDefault="00D8753C" w:rsidP="00B73D3E">
            <w:pPr>
              <w:keepNext/>
              <w:keepLines/>
            </w:pPr>
            <w:r>
              <w:t>1.0</w:t>
            </w:r>
          </w:p>
        </w:tc>
        <w:tc>
          <w:tcPr>
            <w:tcW w:w="1870" w:type="dxa"/>
          </w:tcPr>
          <w:p w14:paraId="63B8D9EC" w14:textId="77777777" w:rsidR="00D8753C" w:rsidRDefault="00D8753C" w:rsidP="00B73D3E">
            <w:pPr>
              <w:keepNext/>
              <w:keepLines/>
            </w:pPr>
            <w:r>
              <w:t>9.99</w:t>
            </w:r>
          </w:p>
        </w:tc>
      </w:tr>
      <w:tr w:rsidR="00D8753C" w14:paraId="178DF418" w14:textId="77777777" w:rsidTr="00D8753C">
        <w:tc>
          <w:tcPr>
            <w:tcW w:w="1870" w:type="dxa"/>
          </w:tcPr>
          <w:p w14:paraId="53EAFE3D" w14:textId="77777777" w:rsidR="00D8753C" w:rsidRDefault="00D8753C" w:rsidP="00B73D3E">
            <w:pPr>
              <w:keepNext/>
              <w:keepLines/>
            </w:pPr>
            <w:r>
              <w:t>Verlet L=16</w:t>
            </w:r>
          </w:p>
        </w:tc>
        <w:tc>
          <w:tcPr>
            <w:tcW w:w="1870" w:type="dxa"/>
          </w:tcPr>
          <w:p w14:paraId="792854EE" w14:textId="77777777" w:rsidR="00D8753C" w:rsidRDefault="00D8753C" w:rsidP="00B73D3E">
            <w:pPr>
              <w:keepNext/>
              <w:keepLines/>
            </w:pPr>
            <w:r>
              <w:t>velocity-Verlet (symplectic)</w:t>
            </w:r>
          </w:p>
        </w:tc>
        <w:tc>
          <w:tcPr>
            <w:tcW w:w="1870" w:type="dxa"/>
          </w:tcPr>
          <w:p w14:paraId="1B4F2872" w14:textId="77777777" w:rsidR="00D8753C" w:rsidRDefault="00D8753C" w:rsidP="00B73D3E">
            <w:pPr>
              <w:keepNext/>
              <w:keepLines/>
            </w:pPr>
            <w:r>
              <w:t>16</w:t>
            </w:r>
          </w:p>
        </w:tc>
        <w:tc>
          <w:tcPr>
            <w:tcW w:w="1870" w:type="dxa"/>
          </w:tcPr>
          <w:p w14:paraId="46CF6C2A" w14:textId="77777777" w:rsidR="00D8753C" w:rsidRDefault="00D8753C" w:rsidP="00B73D3E">
            <w:pPr>
              <w:keepNext/>
              <w:keepLines/>
            </w:pPr>
            <w:r>
              <w:t>0.5</w:t>
            </w:r>
          </w:p>
        </w:tc>
        <w:tc>
          <w:tcPr>
            <w:tcW w:w="1870" w:type="dxa"/>
          </w:tcPr>
          <w:p w14:paraId="1E755D6D" w14:textId="77777777" w:rsidR="00D8753C" w:rsidRDefault="00D8753C" w:rsidP="00B73D3E">
            <w:pPr>
              <w:keepNext/>
              <w:keepLines/>
            </w:pPr>
            <w:r>
              <w:t>10.43</w:t>
            </w:r>
          </w:p>
        </w:tc>
      </w:tr>
    </w:tbl>
    <w:p w14:paraId="3BD9F9DC" w14:textId="77777777" w:rsidR="00990B46" w:rsidRDefault="00990B46"/>
    <w:p w14:paraId="6DA16230" w14:textId="77777777" w:rsidR="00E91A9D" w:rsidRDefault="00000000">
      <w:r>
        <w:t xml:space="preserve">For each prompt the model is run forward and </w:t>
      </w:r>
      <m:oMath>
        <m:r>
          <w:rPr>
            <w:rFonts w:ascii="Cambria Math" w:hAnsi="Cambria Math"/>
          </w:rPr>
          <m:t>ξ</m:t>
        </m:r>
      </m:oMath>
      <w:r>
        <w:t xml:space="preserve"> is captured at the last layer and last-token position. Three hundred and eighty-four seeds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are then built — 128 Gaussian samples matched to the statistics of </w:t>
      </w:r>
      <m:oMath>
        <m:sSub>
          <m:sSubPr>
            <m:ctrlPr>
              <w:rPr>
                <w:rFonts w:ascii="Cambria Math" w:hAnsi="Cambria Math"/>
              </w:rPr>
            </m:ctrlPr>
          </m:sSubPr>
          <m:e>
            <m:r>
              <w:rPr>
                <w:rFonts w:ascii="Cambria Math" w:hAnsi="Cambria Math"/>
              </w:rPr>
              <m:t>h</m:t>
            </m:r>
          </m:e>
          <m:sub>
            <m:r>
              <w:rPr>
                <w:rFonts w:ascii="Cambria Math" w:hAnsi="Cambria Math"/>
              </w:rPr>
              <m:t>L</m:t>
            </m:r>
          </m:sub>
        </m:sSub>
      </m:oMath>
      <w:r>
        <w:t xml:space="preserve">, 128 random token embeddings, and 128 perturbed points from the real </w:t>
      </w:r>
      <m:oMath>
        <m:sSub>
          <m:sSubPr>
            <m:ctrlPr>
              <w:rPr>
                <w:rFonts w:ascii="Cambria Math" w:hAnsi="Cambria Math"/>
              </w:rPr>
            </m:ctrlPr>
          </m:sSubPr>
          <m:e>
            <m:r>
              <w:rPr>
                <w:rFonts w:ascii="Cambria Math" w:hAnsi="Cambria Math"/>
              </w:rPr>
              <m:t>h</m:t>
            </m:r>
          </m:e>
          <m:sub>
            <m:r>
              <w:rPr>
                <w:rFonts w:ascii="Cambria Math" w:hAnsi="Cambria Math"/>
              </w:rPr>
              <m:t>L</m:t>
            </m:r>
          </m:sub>
        </m:sSub>
      </m:oMath>
      <w:r>
        <w:t xml:space="preserve"> trajectory — and each seed is evolved at </w:t>
      </w:r>
      <w:r>
        <w:rPr>
          <w:b/>
          <w:bCs/>
        </w:rPr>
        <w:t>fixed</w:t>
      </w:r>
      <w:r>
        <w:t xml:space="preserve"> </w:t>
      </w:r>
      <m:oMath>
        <m:r>
          <w:rPr>
            <w:rFonts w:ascii="Cambria Math" w:hAnsi="Cambria Math"/>
          </w:rPr>
          <m:t>ξ</m:t>
        </m:r>
      </m:oMath>
      <w:r>
        <w:t xml:space="preserve"> until convergence. The converged states are clustered with </w:t>
      </w:r>
      <m:oMath>
        <m:r>
          <w:rPr>
            <w:rFonts w:ascii="Cambria Math" w:hAnsi="Cambria Math"/>
          </w:rPr>
          <m:t>k</m:t>
        </m:r>
      </m:oMath>
      <w:r>
        <w:t xml:space="preserve">-means under a silhouette sweep over </w:t>
      </w:r>
      <m:oMath>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and each cluster centroid is decoded through the tied LM head as </w:t>
      </w:r>
      <m:oMath>
        <m:r>
          <m:rPr>
            <m:sty m:val="p"/>
          </m:rPr>
          <w:rPr>
            <w:rFonts w:ascii="Cambria Math" w:hAnsi="Cambria Math"/>
          </w:rPr>
          <m:t>softmax(</m:t>
        </m:r>
        <m:r>
          <w:rPr>
            <w:rFonts w:ascii="Cambria Math" w:hAnsi="Cambria Math"/>
          </w:rPr>
          <m:t>c </m:t>
        </m:r>
        <m:sSup>
          <m:sSupPr>
            <m:ctrlPr>
              <w:rPr>
                <w:rFonts w:ascii="Cambria Math" w:hAnsi="Cambria Math"/>
              </w:rPr>
            </m:ctrlPr>
          </m:sSupPr>
          <m:e>
            <m:r>
              <w:rPr>
                <w:rFonts w:ascii="Cambria Math" w:hAnsi="Cambria Math"/>
              </w:rPr>
              <m:t>E</m:t>
            </m:r>
          </m:e>
          <m:sup>
            <m:r>
              <m:rPr>
                <m:sty m:val="p"/>
              </m:rPr>
              <w:rPr>
                <w:rFonts w:ascii="Cambria Math" w:hAnsi="Cambria Math"/>
              </w:rPr>
              <m:t>⊤</m:t>
            </m:r>
          </m:sup>
        </m:sSup>
        <m:r>
          <m:rPr>
            <m:sty m:val="p"/>
          </m:rPr>
          <w:rPr>
            <w:rFonts w:ascii="Cambria Math" w:hAnsi="Cambria Math"/>
          </w:rPr>
          <m:t>)</m:t>
        </m:r>
      </m:oMath>
      <w:r>
        <w:t>. Five prompts spanning narrative, mathematics, science, dialogue, and code supply the context diversity.</w:t>
      </w:r>
    </w:p>
    <w:p w14:paraId="34534F27" w14:textId="39397DF1" w:rsidR="00C93BBD" w:rsidRDefault="00000000">
      <w:r>
        <w:t xml:space="preserve"> Two evolution rules were compared: </w:t>
      </w:r>
      <w:r>
        <w:rPr>
          <w:b/>
          <w:bCs/>
        </w:rPr>
        <w:t>gradient descent</w:t>
      </w:r>
      <w:r>
        <w:t xml:space="preserve"> (Adam on </w:t>
      </w:r>
      <m:oMath>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oMath>
      <w:r>
        <w:t xml:space="preserve">, the literal reading of “find the minima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and </w:t>
      </w:r>
      <w:r>
        <w:rPr>
          <w:b/>
          <w:bCs/>
        </w:rPr>
        <w:t>damped dynamics</w:t>
      </w:r>
      <w:r>
        <w:t xml:space="preserve"> (the model’s own semi-implicit integrator on </w:t>
      </w:r>
      <m:oMath>
        <m:acc>
          <m:accPr>
            <m:chr m:val="̈"/>
            <m:ctrlPr>
              <w:rPr>
                <w:rFonts w:ascii="Cambria Math" w:hAnsi="Cambria Math"/>
              </w:rPr>
            </m:ctrlPr>
          </m:accPr>
          <m:e>
            <m:r>
              <w:rPr>
                <w:rFonts w:ascii="Cambria Math" w:hAnsi="Cambria Math"/>
              </w:rPr>
              <m:t>h</m:t>
            </m:r>
          </m:e>
        </m:acc>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γ</m:t>
        </m:r>
        <m:acc>
          <m:accPr>
            <m:chr m:val="̇"/>
            <m:ctrlPr>
              <w:rPr>
                <w:rFonts w:ascii="Cambria Math" w:hAnsi="Cambria Math"/>
              </w:rPr>
            </m:ctrlPr>
          </m:accPr>
          <m:e>
            <m:r>
              <w:rPr>
                <w:rFonts w:ascii="Cambria Math" w:hAnsi="Cambria Math"/>
              </w:rPr>
              <m:t>h</m:t>
            </m:r>
          </m:e>
        </m:acc>
      </m:oMath>
      <w:r>
        <w:t>, the dynamical system actually implemented at inference time).</w:t>
      </w:r>
    </w:p>
    <w:p w14:paraId="7B106A06" w14:textId="77777777" w:rsidR="00C93BBD" w:rsidRDefault="00000000">
      <w:r>
        <w:t xml:space="preserve">The two rules disagree, and the disagreement is the result. For a potential that is bounded below the equilibria of the damped second-order system are exactly the critical points of </w:t>
      </w:r>
      <m:oMath>
        <m:r>
          <w:rPr>
            <w:rFonts w:ascii="Cambria Math" w:hAnsi="Cambria Math"/>
          </w:rPr>
          <m:t>V</m:t>
        </m:r>
      </m:oMath>
      <w:r>
        <w:t xml:space="preserve">, so both rules would find the same minima. </w:t>
      </w:r>
      <m:oMath>
        <m:sSub>
          <m:sSubPr>
            <m:ctrlPr>
              <w:rPr>
                <w:rFonts w:ascii="Cambria Math" w:hAnsi="Cambria Math"/>
              </w:rPr>
            </m:ctrlPr>
          </m:sSubPr>
          <m:e>
            <m:r>
              <w:rPr>
                <w:rFonts w:ascii="Cambria Math" w:hAnsi="Cambria Math"/>
              </w:rPr>
              <m:t>V</m:t>
            </m:r>
          </m:e>
          <m:sub>
            <m:r>
              <w:rPr>
                <w:rFonts w:ascii="Cambria Math" w:hAnsi="Cambria Math"/>
              </w:rPr>
              <m:t>θ</m:t>
            </m:r>
          </m:sub>
        </m:sSub>
      </m:oMath>
      <w:r>
        <w:rPr>
          <w:b/>
          <w:bCs/>
        </w:rPr>
        <w:t xml:space="preserve"> </w:t>
      </w:r>
      <w:r>
        <w:rPr>
          <w:b/>
          <w:bCs/>
        </w:rPr>
        <w:lastRenderedPageBreak/>
        <w:t>is not bounded below.</w:t>
      </w:r>
      <w:r>
        <w:t xml:space="preserve"> Pure Adam descent never converges: across all five prompts and all 384 seeds, </w:t>
      </w:r>
      <m:oMath>
        <m:r>
          <m:rPr>
            <m:sty m:val="p"/>
          </m:rPr>
          <w:rPr>
            <w:rFonts w:ascii="Cambria Math" w:hAnsi="Cambria Math"/>
          </w:rPr>
          <m:t>⟨</m:t>
        </m:r>
        <m:r>
          <w:rPr>
            <w:rFonts w:ascii="Cambria Math" w:hAnsi="Cambria Math"/>
          </w:rPr>
          <m:t>V</m:t>
        </m:r>
        <m:r>
          <m:rPr>
            <m:sty m:val="p"/>
          </m:rPr>
          <w:rPr>
            <w:rFonts w:ascii="Cambria Math" w:hAnsi="Cambria Math"/>
          </w:rPr>
          <m:t>⟩</m:t>
        </m:r>
      </m:oMath>
      <w:r>
        <w:t xml:space="preserve"> falls to roughly </w:t>
      </w:r>
      <m:oMath>
        <m:r>
          <m:rPr>
            <m:sty m:val="p"/>
          </m:rPr>
          <w:rPr>
            <w:rFonts w:ascii="Cambria Math" w:hAnsi="Cambria Math"/>
          </w:rPr>
          <m:t>-</m:t>
        </m:r>
        <m:r>
          <w:rPr>
            <w:rFonts w:ascii="Cambria Math" w:hAnsi="Cambria Math"/>
          </w:rPr>
          <m:t>2500</m:t>
        </m:r>
      </m:oMath>
      <w:r>
        <w:t xml:space="preserve"> by step 300 and </w:t>
      </w:r>
      <m:oMath>
        <m:r>
          <m:rPr>
            <m:sty m:val="p"/>
          </m:rPr>
          <w:rPr>
            <w:rFonts w:ascii="Cambria Math" w:hAnsi="Cambria Math"/>
          </w:rPr>
          <m:t>-</m:t>
        </m:r>
        <m:r>
          <w:rPr>
            <w:rFonts w:ascii="Cambria Math" w:hAnsi="Cambria Math"/>
          </w:rPr>
          <m:t>50000</m:t>
        </m:r>
      </m:oMath>
      <w:r>
        <w:t xml:space="preserve"> by step 1500 while </w:t>
      </w:r>
      <m:oMath>
        <m:d>
          <m:dPr>
            <m:begChr m:val="‖"/>
            <m:endChr m:val="‖"/>
            <m:ctrlPr>
              <w:rPr>
                <w:rFonts w:ascii="Cambria Math" w:hAnsi="Cambria Math"/>
              </w:rPr>
            </m:ctrlPr>
          </m:dPr>
          <m:e>
            <m:r>
              <w:rPr>
                <w:rFonts w:ascii="Cambria Math" w:hAnsi="Cambria Math"/>
              </w:rPr>
              <m:t>h</m:t>
            </m:r>
          </m:e>
        </m:d>
      </m:oMath>
      <w:r>
        <w:t xml:space="preserve"> grows from 25 to 2200, and not one of the 384 seeds reaches </w:t>
      </w:r>
      <m:oMath>
        <m:d>
          <m:dPr>
            <m:begChr m:val="‖"/>
            <m:endChr m:val="‖"/>
            <m:ctrlPr>
              <w:rPr>
                <w:rFonts w:ascii="Cambria Math" w:hAnsi="Cambria Math"/>
              </w:rPr>
            </m:ctrlPr>
          </m:dPr>
          <m:e>
            <m:r>
              <m:rPr>
                <m:sty m:val="p"/>
              </m:rPr>
              <w:rPr>
                <w:rFonts w:ascii="Cambria Math" w:hAnsi="Cambria Math"/>
              </w:rPr>
              <m:t>∇</m:t>
            </m:r>
            <m:r>
              <w:rPr>
                <w:rFonts w:ascii="Cambria Math" w:hAnsi="Cambria Math"/>
              </w:rPr>
              <m:t>V</m:t>
            </m:r>
          </m:e>
        </m:d>
        <m:r>
          <m:rPr>
            <m:sty m:val="p"/>
          </m:rPr>
          <w:rPr>
            <w:rFonts w:ascii="Cambria Math" w:hAnsi="Cambria Math"/>
          </w:rPr>
          <m:t>&lt;</m:t>
        </m:r>
        <m:r>
          <w:rPr>
            <w:rFonts w:ascii="Cambria Math" w:hAnsi="Cambria Math"/>
          </w:rPr>
          <m:t>0.05</m:t>
        </m:r>
      </m:oMath>
      <w:r>
        <w:t xml:space="preserve">. This is structural rather than an artefact of the optimiser: the training loss touches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only through its gradient, so adding a constant to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leaves the loss invariant, and positive rescaling is partially absorbed by the learnable </w:t>
      </w:r>
      <m:oMath>
        <m:r>
          <w:rPr>
            <w:rFonts w:ascii="Cambria Math" w:hAnsi="Cambria Math"/>
          </w:rPr>
          <m:t>γ</m:t>
        </m:r>
      </m:oMath>
      <w:r>
        <w:t xml:space="preserve">, </w:t>
      </w:r>
      <m:oMath>
        <m:r>
          <w:rPr>
            <w:rFonts w:ascii="Cambria Math" w:hAnsi="Cambria Math"/>
          </w:rPr>
          <m:t>m</m:t>
        </m:r>
      </m:oMath>
      <w:r>
        <w:t xml:space="preserve">, and </w:t>
      </w:r>
      <m:oMath>
        <m:r>
          <m:rPr>
            <m:sty m:val="p"/>
          </m:rPr>
          <w:rPr>
            <w:rFonts w:ascii="Cambria Math" w:hAnsi="Cambria Math"/>
          </w:rPr>
          <m:t>Δ</m:t>
        </m:r>
        <m:r>
          <w:rPr>
            <w:rFonts w:ascii="Cambria Math" w:hAnsi="Cambria Math"/>
          </w:rPr>
          <m:t>t</m:t>
        </m:r>
      </m:oMath>
      <w:r>
        <w:t xml:space="preserve">. The absolute scale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is an unconstrained gauge degree of freedom, which the optimiser is free to drive toward </w:t>
      </w:r>
      <m:oMath>
        <m:r>
          <m:rPr>
            <m:sty m:val="p"/>
          </m:rPr>
          <w:rPr>
            <w:rFonts w:ascii="Cambria Math" w:hAnsi="Cambria Math"/>
          </w:rPr>
          <m:t>-∞</m:t>
        </m:r>
      </m:oMath>
      <w:r>
        <w:t xml:space="preserve"> along any direction where doing so costs nothing.</w:t>
      </w:r>
    </w:p>
    <w:p w14:paraId="3FC066BC" w14:textId="77777777" w:rsidR="00C93BBD" w:rsidRDefault="00000000">
      <w:r>
        <w:t xml:space="preserve">The damped dynamics, by contrast, </w:t>
      </w:r>
      <w:r>
        <w:rPr>
          <w:b/>
          <w:bCs/>
        </w:rPr>
        <w:t>is</w:t>
      </w:r>
      <w:r>
        <w:t xml:space="preserve"> prompt-dependently multi-basin. Run for exactly </w:t>
      </w:r>
      <m:oMath>
        <m:sSub>
          <m:sSubPr>
            <m:ctrlPr>
              <w:rPr>
                <w:rFonts w:ascii="Cambria Math" w:hAnsi="Cambria Math"/>
              </w:rPr>
            </m:ctrlPr>
          </m:sSubPr>
          <m:e>
            <m:r>
              <w:rPr>
                <w:rFonts w:ascii="Cambria Math" w:hAnsi="Cambria Math"/>
              </w:rPr>
              <m:t>L</m:t>
            </m:r>
          </m:e>
          <m:sub>
            <m:r>
              <m:rPr>
                <m:nor/>
              </m:rPr>
              <m:t>train</m:t>
            </m:r>
          </m:sub>
        </m:sSub>
      </m:oMath>
      <w:r>
        <w:t xml:space="preserve"> steps — the training-time integration depth, beyond which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extrapolates pathologically — the flow concentrates the 384 seeds onto a small number of distinct basins whose decoded token distributions are interpretable, ranging from two to ten basins depending on the prompt, with the Euler </w:t>
      </w:r>
      <m:oMath>
        <m:r>
          <w:rPr>
            <w:rFonts w:ascii="Cambria Math" w:hAnsi="Cambria Math"/>
          </w:rPr>
          <m:t>L</m:t>
        </m:r>
        <m:r>
          <m:rPr>
            <m:sty m:val="p"/>
          </m:rPr>
          <w:rPr>
            <w:rFonts w:ascii="Cambria Math" w:hAnsi="Cambria Math"/>
          </w:rPr>
          <m:t>=</m:t>
        </m:r>
        <m:r>
          <w:rPr>
            <w:rFonts w:ascii="Cambria Math" w:hAnsi="Cambria Math"/>
          </w:rPr>
          <m:t>8</m:t>
        </m:r>
      </m:oMath>
      <w:r>
        <w:t xml:space="preserve"> checkpoint at </w:t>
      </w:r>
      <m:oMath>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1.0</m:t>
        </m:r>
      </m:oMath>
      <w:r>
        <w:t xml:space="preserve"> resolving markedly richer, content-bearing structure than the coarser, punctuation-dominated basins of the Verlet </w:t>
      </w:r>
      <m:oMath>
        <m:r>
          <w:rPr>
            <w:rFonts w:ascii="Cambria Math" w:hAnsi="Cambria Math"/>
          </w:rPr>
          <m:t>L</m:t>
        </m:r>
        <m:r>
          <m:rPr>
            <m:sty m:val="p"/>
          </m:rPr>
          <w:rPr>
            <w:rFonts w:ascii="Cambria Math" w:hAnsi="Cambria Math"/>
          </w:rPr>
          <m:t>=</m:t>
        </m:r>
        <m:r>
          <w:rPr>
            <w:rFonts w:ascii="Cambria Math" w:hAnsi="Cambria Math"/>
          </w:rPr>
          <m:t>16</m:t>
        </m:r>
      </m:oMath>
      <w:r>
        <w:t xml:space="preserve"> checkpoint.</w:t>
      </w:r>
    </w:p>
    <w:p w14:paraId="53320C31" w14:textId="77777777" w:rsidR="00C93BBD" w:rsidRDefault="00000000">
      <w:r>
        <w:t xml:space="preserve">The conclusion is therefore more interesting than a simple yes or no, and it fixes the language used in the rest of this document: </w:t>
      </w:r>
      <w:r>
        <w:rPr>
          <w:b/>
          <w:bCs/>
        </w:rPr>
        <w:t>“semantic attractor” must be read dynamically, not energetically.</w:t>
      </w:r>
      <w:r>
        <w:t xml:space="preserve"> An attractor is a region of </w:t>
      </w:r>
      <m:oMath>
        <m:r>
          <w:rPr>
            <w:rFonts w:ascii="Cambria Math" w:hAnsi="Cambria Math"/>
          </w:rPr>
          <m:t>h</m:t>
        </m:r>
      </m:oMath>
      <w:r>
        <w:t xml:space="preserve">-space onto which the damped flow at fixed </w:t>
      </w:r>
      <m:oMath>
        <m:r>
          <w:rPr>
            <w:rFonts w:ascii="Cambria Math" w:hAnsi="Cambria Math"/>
          </w:rPr>
          <m:t>ξ</m:t>
        </m:r>
      </m:oMath>
      <w:r>
        <w:t xml:space="preserve"> concentrates within </w:t>
      </w:r>
      <m:oMath>
        <m:sSub>
          <m:sSubPr>
            <m:ctrlPr>
              <w:rPr>
                <w:rFonts w:ascii="Cambria Math" w:hAnsi="Cambria Math"/>
              </w:rPr>
            </m:ctrlPr>
          </m:sSubPr>
          <m:e>
            <m:r>
              <w:rPr>
                <w:rFonts w:ascii="Cambria Math" w:hAnsi="Cambria Math"/>
              </w:rPr>
              <m:t>L</m:t>
            </m:r>
          </m:e>
          <m:sub>
            <m:r>
              <m:rPr>
                <m:nor/>
              </m:rPr>
              <m:t>train</m:t>
            </m:r>
          </m:sub>
        </m:sSub>
      </m:oMath>
      <w:r>
        <w:t xml:space="preserve"> steps. It need not be — and empirically is not — a critical point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w:t>
      </w:r>
    </w:p>
    <w:p w14:paraId="420AA218" w14:textId="77777777" w:rsidR="00662B88" w:rsidRDefault="00662B88"/>
    <w:p w14:paraId="2CF95AF2" w14:textId="77777777" w:rsidR="006D581F" w:rsidRDefault="006D581F"/>
    <w:p w14:paraId="7522C2CA" w14:textId="77777777" w:rsidR="00C20D32" w:rsidRDefault="00C20D32" w:rsidP="00C20D32">
      <w:pPr>
        <w:pStyle w:val="Heading1"/>
      </w:pPr>
      <w:bookmarkStart w:id="3" w:name="_Toc240119365"/>
      <w:r>
        <w:t>Potential Wells and the Concept of Temperature</w:t>
      </w:r>
      <w:bookmarkEnd w:id="3"/>
    </w:p>
    <w:p w14:paraId="5197A728" w14:textId="77777777" w:rsidR="00C20D32" w:rsidRDefault="00C20D32"/>
    <w:p w14:paraId="41F49966" w14:textId="77777777" w:rsidR="00DF27AB" w:rsidRDefault="00000000">
      <w:r>
        <w:t xml:space="preserve">This section records how a temperature </w:t>
      </w:r>
      <m:oMath>
        <m:box>
          <m:boxPr>
            <m:ctrlPr>
              <w:rPr>
                <w:rFonts w:ascii="Cambria Math" w:hAnsi="Cambria Math"/>
              </w:rPr>
            </m:ctrlPr>
          </m:boxPr>
          <m:e>
            <m:r>
              <w:rPr>
                <w:rFonts w:ascii="Cambria Math" w:hAnsi="Cambria Math"/>
              </w:rPr>
              <m:t>τ</m:t>
            </m:r>
            <m:r>
              <m:rPr>
                <m:sty m:val="p"/>
              </m:rPr>
              <w:rPr>
                <w:rFonts w:ascii="Cambria Math" w:hAnsi="Cambria Math"/>
              </w:rPr>
              <m:t>&gt;0</m:t>
            </m:r>
          </m:e>
        </m:box>
      </m:oMath>
      <w:r>
        <w:t xml:space="preserve"> turns a collection of individual wells into a single scalar landscape. The construction used by SQ3 (class </w:t>
      </w:r>
      <w:r>
        <w:rPr>
          <w:rFonts w:ascii="Consolas" w:hAnsi="Consolas"/>
        </w:rPr>
        <w:t>MixtureQuadraticVTheta</w:t>
      </w:r>
      <w:r>
        <w:t>) is a temperature-smoothed log-sum-exp mixture of component energies. The rest of the section unpacks that formula: what temperature means, what it does not change about a single well, how the three mixing regimes look geometrically, why the unit value is canonical, and why the same mixing rule applies to well shapes other than quadratics.</w:t>
      </w:r>
    </w:p>
    <w:p w14:paraId="5F9C72A3" w14:textId="77777777" w:rsidR="006D3718" w:rsidRDefault="006D3718"/>
    <w:p w14:paraId="5FADBF29" w14:textId="77777777" w:rsidR="00E56717" w:rsidRDefault="00000000">
      <w:pPr>
        <w:pStyle w:val="Heading2"/>
      </w:pPr>
      <w:bookmarkStart w:id="4" w:name="_Toc240119366"/>
      <w:r>
        <w:t>Temperature as Boltzmann weight, softmax, and log-sum-exp</w:t>
      </w:r>
      <w:bookmarkEnd w:id="4"/>
    </w:p>
    <w:p w14:paraId="76BE77F0" w14:textId="77777777" w:rsidR="006D3718" w:rsidRPr="006D3718" w:rsidRDefault="006D3718" w:rsidP="006D3718"/>
    <w:p w14:paraId="278B7152" w14:textId="77777777" w:rsidR="00E56717" w:rsidRDefault="00000000">
      <w:r>
        <w:t xml:space="preserve">The symbol </w:t>
      </w:r>
      <m:oMath>
        <m:box>
          <m:boxPr>
            <m:ctrlPr>
              <w:rPr>
                <w:rFonts w:ascii="Cambria Math" w:hAnsi="Cambria Math"/>
              </w:rPr>
            </m:ctrlPr>
          </m:boxPr>
          <m:e>
            <m:r>
              <w:rPr>
                <w:rFonts w:ascii="Cambria Math" w:hAnsi="Cambria Math"/>
              </w:rPr>
              <m:t>τ</m:t>
            </m:r>
          </m:e>
        </m:box>
      </m:oMath>
      <w:r>
        <w:t xml:space="preserve"> that appears in the SQ3 potential is a temperature. The same parameter occurs in statistical mechanics, in classification, and in convex analysis. The three writings look different, but they are the same mathematical object.</w:t>
      </w:r>
    </w:p>
    <w:p w14:paraId="2B872012" w14:textId="77777777" w:rsidR="00E56717" w:rsidRDefault="00000000">
      <w:r>
        <w:t xml:space="preserve">• Boltzmann–Gibbs. Given an energy function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e>
        </m:box>
      </m:oMath>
      <w:r>
        <w:t xml:space="preserve">, the canonical distribution is </w:t>
      </w:r>
      <m:oMath>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)∝exp(-</m:t>
            </m:r>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Small </w:t>
      </w:r>
      <m:oMath>
        <m:box>
          <m:boxPr>
            <m:ctrlPr>
              <w:rPr>
                <w:rFonts w:ascii="Cambria Math" w:hAnsi="Cambria Math"/>
              </w:rPr>
            </m:ctrlPr>
          </m:boxPr>
          <m:e>
            <m:r>
              <w:rPr>
                <w:rFonts w:ascii="Cambria Math" w:hAnsi="Cambria Math"/>
              </w:rPr>
              <m:t>τ</m:t>
            </m:r>
          </m:e>
        </m:box>
      </m:oMath>
      <w:r>
        <w:t xml:space="preserve"> concentrates the mass at the energy minimum; large </w:t>
      </w:r>
      <m:oMath>
        <m:box>
          <m:boxPr>
            <m:ctrlPr>
              <w:rPr>
                <w:rFonts w:ascii="Cambria Math" w:hAnsi="Cambria Math"/>
              </w:rPr>
            </m:ctrlPr>
          </m:boxPr>
          <m:e>
            <m:r>
              <w:rPr>
                <w:rFonts w:ascii="Cambria Math" w:hAnsi="Cambria Math"/>
              </w:rPr>
              <m:t>τ</m:t>
            </m:r>
          </m:e>
        </m:box>
      </m:oMath>
      <w:r>
        <w:t xml:space="preserve"> flattens the distribution toward uniformity. The normaliser is the partition function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)=∫exp(-</m:t>
            </m:r>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dx</m:t>
            </m:r>
          </m:e>
        </m:box>
      </m:oMath>
      <w:r>
        <w:t xml:space="preserve">, and the associated free energy is </w:t>
      </w:r>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τ</m:t>
            </m:r>
            <m:r>
              <m:rPr>
                <m:sty m:val="p"/>
              </m:rPr>
              <w:rPr>
                <w:rFonts w:ascii="Cambria Math" w:hAnsi="Cambria Math"/>
              </w:rPr>
              <m:t>log</m:t>
            </m:r>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m:t>
            </m:r>
          </m:e>
        </m:box>
      </m:oMath>
      <w:r>
        <w:t>.</w:t>
      </w:r>
    </w:p>
    <w:p w14:paraId="79E61EBD" w14:textId="77777777" w:rsidR="00E56717" w:rsidRDefault="00000000">
      <w:r>
        <w:t xml:space="preserve">• Softmax. The map </w:t>
      </w:r>
      <m:oMath>
        <m:box>
          <m:boxPr>
            <m:ctrlPr>
              <w:rPr>
                <w:rFonts w:ascii="Cambria Math" w:hAnsi="Cambria Math"/>
              </w:rPr>
            </m:ctrlPr>
          </m:boxPr>
          <m:e>
            <m:r>
              <w:rPr>
                <w:rFonts w:ascii="Cambria Math" w:hAnsi="Cambria Math"/>
              </w:rPr>
              <m:t>z</m:t>
            </m:r>
            <m:r>
              <m:rPr>
                <m:sty m:val="p"/>
              </m:rPr>
              <w:rPr>
                <w:rFonts w:ascii="Cambria Math" w:hAnsi="Cambria Math"/>
              </w:rPr>
              <m:t>↦</m:t>
            </m:r>
            <m:r>
              <m:rPr>
                <m:nor/>
              </m:rPr>
              <w:rPr>
                <w:rFonts w:ascii="Cambria Math" w:hAnsi="Cambria Math"/>
              </w:rPr>
              <m:t>softmax</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interpolates between a hard argmax as </w:t>
      </w:r>
      <m:oMath>
        <m:box>
          <m:boxPr>
            <m:ctrlPr>
              <w:rPr>
                <w:rFonts w:ascii="Cambria Math" w:hAnsi="Cambria Math"/>
              </w:rPr>
            </m:ctrlPr>
          </m:boxPr>
          <m:e>
            <m:r>
              <w:rPr>
                <w:rFonts w:ascii="Cambria Math" w:hAnsi="Cambria Math"/>
              </w:rPr>
              <m:t>τ</m:t>
            </m:r>
            <m:r>
              <m:rPr>
                <m:sty m:val="p"/>
              </m:rPr>
              <w:rPr>
                <w:rFonts w:ascii="Cambria Math" w:hAnsi="Cambria Math"/>
              </w:rPr>
              <m:t>→0</m:t>
            </m:r>
          </m:e>
        </m:box>
      </m:oMath>
      <w:r>
        <w:t xml:space="preserve"> and a uniform distribution as </w:t>
      </w:r>
      <m:oMath>
        <m:box>
          <m:boxPr>
            <m:ctrlPr>
              <w:rPr>
                <w:rFonts w:ascii="Cambria Math" w:hAnsi="Cambria Math"/>
              </w:rPr>
            </m:ctrlPr>
          </m:boxPr>
          <m:e>
            <m:r>
              <w:rPr>
                <w:rFonts w:ascii="Cambria Math" w:hAnsi="Cambria Math"/>
              </w:rPr>
              <m:t>τ</m:t>
            </m:r>
            <m:r>
              <m:rPr>
                <m:sty m:val="p"/>
              </m:rPr>
              <w:rPr>
                <w:rFonts w:ascii="Cambria Math" w:hAnsi="Cambria Math"/>
              </w:rPr>
              <m:t>→∞</m:t>
            </m:r>
          </m:e>
        </m:box>
      </m:oMath>
      <w:r>
        <w:t>. In a language model this is the difference between greedy decoding and sampling from a nearly flat vocabulary distribution.</w:t>
      </w:r>
    </w:p>
    <w:p w14:paraId="0C362E73" w14:textId="77777777" w:rsidR="00E56717" w:rsidRDefault="00000000">
      <w:r>
        <w:t xml:space="preserve">• Log-sum-exp. The function </w:t>
      </w:r>
      <m:oMath>
        <m:box>
          <m:boxPr>
            <m:ctrlPr>
              <w:rPr>
                <w:rFonts w:ascii="Cambria Math" w:hAnsi="Cambria Math"/>
              </w:rPr>
            </m:ctrlPr>
          </m:boxPr>
          <m:e>
            <m:r>
              <m:rPr>
                <m:sty m:val="p"/>
              </m:rPr>
              <w:rPr>
                <w:rFonts w:ascii="Cambria Math" w:hAnsi="Cambria Math"/>
              </w:rPr>
              <m:t>-</m:t>
            </m:r>
            <m:r>
              <w:rPr>
                <w:rFonts w:ascii="Cambria Math" w:hAnsi="Cambria Math"/>
              </w:rPr>
              <m:t>τ</m:t>
            </m:r>
            <m:r>
              <m:rPr>
                <m:sty m:val="p"/>
              </m:rPr>
              <w:rPr>
                <w:rFonts w:ascii="Cambria Math" w:hAnsi="Cambria Math"/>
              </w:rPr>
              <m:t>log</m:t>
            </m:r>
            <m:nary>
              <m:naryPr>
                <m:chr m:val="∑"/>
                <m:limLoc m:val="undOvr"/>
                <m:ctrlPr>
                  <w:rPr>
                    <w:rFonts w:ascii="Cambria Math" w:hAnsi="Cambria Math"/>
                  </w:rPr>
                </m:ctrlPr>
              </m:naryPr>
              <m:sub>
                <m:r>
                  <w:rPr>
                    <w:rFonts w:ascii="Cambria Math" w:hAnsi="Cambria Math"/>
                  </w:rPr>
                  <m:t>k</m:t>
                </m:r>
              </m:sub>
              <m:sup/>
              <m:e>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e>
            </m:nary>
          </m:e>
        </m:box>
      </m:oMath>
      <w:r>
        <w:t xml:space="preserve"> is a smooth (soft) minimum of the numbers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The parameter </w:t>
      </w:r>
      <m:oMath>
        <m:box>
          <m:boxPr>
            <m:ctrlPr>
              <w:rPr>
                <w:rFonts w:ascii="Cambria Math" w:hAnsi="Cambria Math"/>
              </w:rPr>
            </m:ctrlPr>
          </m:boxPr>
          <m:e>
            <m:r>
              <w:rPr>
                <w:rFonts w:ascii="Cambria Math" w:hAnsi="Cambria Math"/>
              </w:rPr>
              <m:t>τ</m:t>
            </m:r>
          </m:e>
        </m:box>
      </m:oMath>
      <w:r>
        <w:t xml:space="preserve"> is the smoothing radius: as it tends to zero the soft minimum converges to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box>
      </m:oMath>
      <w:r>
        <w:t>.</w:t>
      </w:r>
    </w:p>
    <w:p w14:paraId="15A0B9F0" w14:textId="77777777" w:rsidR="00E56717" w:rsidRDefault="00000000">
      <w:r>
        <w:t xml:space="preserve">In the structured scalar potential of this document the three views are combined into a single landscape. Mixture weights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are a softmax over a linear map of the context </w:t>
      </w:r>
      <m:oMath>
        <m:box>
          <m:boxPr>
            <m:ctrlPr>
              <w:rPr>
                <w:rFonts w:ascii="Cambria Math" w:hAnsi="Cambria Math"/>
              </w:rPr>
            </m:ctrlPr>
          </m:boxPr>
          <m:e>
            <m:r>
              <w:rPr>
                <w:rFonts w:ascii="Cambria Math" w:hAnsi="Cambria Math"/>
              </w:rPr>
              <m:t>ξ</m:t>
            </m:r>
          </m:e>
        </m:box>
      </m:oMath>
      <w:r>
        <w:t xml:space="preserve"> (the projection </w:t>
      </w:r>
      <w:r>
        <w:rPr>
          <w:rFonts w:ascii="Consolas" w:hAnsi="Consolas"/>
        </w:rPr>
        <w:t>pi_proj</w:t>
      </w:r>
      <w:r>
        <w:t xml:space="preserve"> in </w:t>
      </w:r>
      <w:r>
        <w:rPr>
          <w:rFonts w:ascii="Consolas" w:hAnsi="Consolas"/>
        </w:rPr>
        <w:t>MixtureQuadraticVTheta</w:t>
      </w:r>
      <w:r>
        <w:t xml:space="preserve">). Each well contributes a scalar energy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The SQ3 potential is the temperature-smoothed log-sum-exp of those wells,</w:t>
      </w:r>
    </w:p>
    <w:p w14:paraId="5209DC97" w14:textId="77777777" w:rsidR="00E56717"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m:t>
                  </m:r>
                </m:e>
              </m:nary>
            </m:e>
          </m:box>
        </m:oMath>
      </m:oMathPara>
    </w:p>
    <w:p w14:paraId="5F6073BB" w14:textId="77777777" w:rsidR="00E56717" w:rsidRDefault="00000000">
      <w:r>
        <w:lastRenderedPageBreak/>
        <w:t xml:space="preserve">Numerically the same expression is evaluated as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τ</m:t>
            </m:r>
            <m:sSub>
              <m:sSubPr>
                <m:ctrlPr>
                  <w:rPr>
                    <w:rFonts w:ascii="Cambria Math" w:hAnsi="Cambria Math"/>
                  </w:rPr>
                </m:ctrlPr>
              </m:sSubPr>
              <m:e>
                <m:r>
                  <m:rPr>
                    <m:nor/>
                  </m:rPr>
                  <w:rPr>
                    <w:rFonts w:ascii="Cambria Math" w:hAnsi="Cambria Math"/>
                  </w:rPr>
                  <m:t>logsumexp</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+log</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e>
        </m:box>
      </m:oMath>
      <w:r>
        <w:t xml:space="preserve">. The implementation then adds a context-dependent offset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produced by </w:t>
      </w:r>
      <w:r>
        <w:rPr>
          <w:rFonts w:ascii="Consolas" w:hAnsi="Consolas"/>
        </w:rPr>
        <w:t>b_proj</w:t>
      </w:r>
      <w:r>
        <w:t xml:space="preserve">. That offset does not depend on </w:t>
      </w:r>
      <m:oMath>
        <m:box>
          <m:boxPr>
            <m:ctrlPr>
              <w:rPr>
                <w:rFonts w:ascii="Cambria Math" w:hAnsi="Cambria Math"/>
              </w:rPr>
            </m:ctrlPr>
          </m:boxPr>
          <m:e>
            <m:r>
              <w:rPr>
                <w:rFonts w:ascii="Cambria Math" w:hAnsi="Cambria Math"/>
              </w:rPr>
              <m:t>h</m:t>
            </m:r>
          </m:e>
        </m:box>
      </m:oMath>
      <w:r>
        <w:t xml:space="preserve">, so it shifts the potential without changing the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1244B5D6" w14:textId="77777777" w:rsidR="00E56717" w:rsidRDefault="00000000">
      <w:r>
        <w:t xml:space="preserve">Temperature here is a property of the </w:t>
      </w:r>
      <w:r>
        <w:rPr>
          <w:b/>
        </w:rPr>
        <w:t>potential</w:t>
      </w:r>
      <w:r>
        <w:t xml:space="preserve">, not of the integrator. The SPLM / PARFLM dynamics are deterministic (velocity Verlet / BAOAB, with no Langevin noise). The particle does not sample a Boltzmann distribution at temperature </w:t>
      </w:r>
      <m:oMath>
        <m:box>
          <m:boxPr>
            <m:ctrlPr>
              <w:rPr>
                <w:rFonts w:ascii="Cambria Math" w:hAnsi="Cambria Math"/>
              </w:rPr>
            </m:ctrlPr>
          </m:boxPr>
          <m:e>
            <m:r>
              <w:rPr>
                <w:rFonts w:ascii="Cambria Math" w:hAnsi="Cambria Math"/>
              </w:rPr>
              <m:t>τ</m:t>
            </m:r>
          </m:e>
        </m:box>
      </m:oMath>
      <w:r>
        <w:t xml:space="preserve">; it descends the force field of a landscape whose wells have already been mixed at that temperature. The Boltzmann reading applies at the population level: across many contexts, the converged hidden states are expected to concentrate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sup>
            </m:sSup>
          </m:e>
        </m:box>
      </m:oMath>
      <w:r>
        <w:t xml:space="preserve"> is large.</w:t>
      </w:r>
    </w:p>
    <w:p w14:paraId="780F1716" w14:textId="77777777" w:rsidR="006D3718" w:rsidRDefault="006D3718"/>
    <w:p w14:paraId="7100919B" w14:textId="77777777" w:rsidR="00E56717" w:rsidRDefault="00000000">
      <w:pPr>
        <w:pStyle w:val="Heading2"/>
      </w:pPr>
      <w:bookmarkStart w:id="5" w:name="_Toc240119367"/>
      <w:r>
        <w:t>What temperature does not change</w:t>
      </w:r>
      <w:bookmarkEnd w:id="5"/>
    </w:p>
    <w:p w14:paraId="17EA0DE6" w14:textId="77777777" w:rsidR="006D3718" w:rsidRPr="006D3718" w:rsidRDefault="006D3718" w:rsidP="006D3718"/>
    <w:p w14:paraId="3DDED05C" w14:textId="77777777" w:rsidR="00E56717" w:rsidRDefault="00000000">
      <w:r>
        <w:t xml:space="preserve">The parameter </w:t>
      </w:r>
      <m:oMath>
        <m:box>
          <m:boxPr>
            <m:ctrlPr>
              <w:rPr>
                <w:rFonts w:ascii="Cambria Math" w:hAnsi="Cambria Math"/>
              </w:rPr>
            </m:ctrlPr>
          </m:boxPr>
          <m:e>
            <m:r>
              <w:rPr>
                <w:rFonts w:ascii="Cambria Math" w:hAnsi="Cambria Math"/>
              </w:rPr>
              <m:t>τ</m:t>
            </m:r>
          </m:e>
        </m:box>
      </m:oMath>
      <w:r>
        <w:t xml:space="preserve"> does not reshape an individual well. Each component energy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is a function of the hidden state </w:t>
      </w:r>
      <m:oMath>
        <m:box>
          <m:boxPr>
            <m:ctrlPr>
              <w:rPr>
                <w:rFonts w:ascii="Cambria Math" w:hAnsi="Cambria Math"/>
              </w:rPr>
            </m:ctrlPr>
          </m:boxPr>
          <m:e>
            <m:r>
              <w:rPr>
                <w:rFonts w:ascii="Cambria Math" w:hAnsi="Cambria Math"/>
              </w:rPr>
              <m:t>h</m:t>
            </m:r>
          </m:e>
        </m:box>
      </m:oMath>
      <w:r>
        <w:t xml:space="preserve"> and the context </w:t>
      </w:r>
      <m:oMath>
        <m:box>
          <m:boxPr>
            <m:ctrlPr>
              <w:rPr>
                <w:rFonts w:ascii="Cambria Math" w:hAnsi="Cambria Math"/>
              </w:rPr>
            </m:ctrlPr>
          </m:boxPr>
          <m:e>
            <m:r>
              <w:rPr>
                <w:rFonts w:ascii="Cambria Math" w:hAnsi="Cambria Math"/>
              </w:rPr>
              <m:t>ξ</m:t>
            </m:r>
          </m:e>
        </m:box>
      </m:oMath>
      <w:r>
        <w:t xml:space="preserve"> in its own right. For the quadratic family used by SQ1 and SQ3 that function is the diagonal parabola written in the next section,</w:t>
      </w:r>
    </w:p>
    <w:p w14:paraId="27EC2660" w14:textId="77777777" w:rsidR="00E56717"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2988F942" w14:textId="77777777" w:rsidR="00E56717" w:rsidRDefault="00000000">
      <w:r>
        <w:t xml:space="preserve">with centre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and positive diagonal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box>
                  <m:boxPr>
                    <m:ctrlPr>
                      <w:rPr>
                        <w:rFonts w:ascii="Cambria Math" w:hAnsi="Cambria Math"/>
                      </w:rPr>
                    </m:ctrlPr>
                  </m:boxPr>
                  <m:e>
                    <m:r>
                      <w:rPr>
                        <w:rFonts w:ascii="Cambria Math" w:hAnsi="Cambria Math"/>
                      </w:rPr>
                      <m:t>k</m:t>
                    </m:r>
                    <m:r>
                      <m:rPr>
                        <m:sty m:val="p"/>
                      </m:rPr>
                      <w:rPr>
                        <w:rFonts w:ascii="Cambria Math" w:hAnsi="Cambria Math"/>
                      </w:rPr>
                      <m:t>,</m:t>
                    </m:r>
                    <m:r>
                      <w:rPr>
                        <w:rFonts w:ascii="Cambria Math" w:hAnsi="Cambria Math"/>
                      </w:rPr>
                      <m:t>i</m:t>
                    </m:r>
                  </m:e>
                </m:box>
              </m:sub>
            </m:sSub>
            <m:r>
              <m:rPr>
                <m:sty m:val="p"/>
              </m:rPr>
              <w:rPr>
                <w:rFonts w:ascii="Cambria Math" w:hAnsi="Cambria Math"/>
              </w:rPr>
              <m:t>(</m:t>
            </m:r>
            <m:r>
              <w:rPr>
                <w:rFonts w:ascii="Cambria Math" w:hAnsi="Cambria Math"/>
              </w:rPr>
              <m:t>ξ</m:t>
            </m:r>
            <m:r>
              <m:rPr>
                <m:sty m:val="p"/>
              </m:rPr>
              <w:rPr>
                <w:rFonts w:ascii="Cambria Math" w:hAnsi="Cambria Math"/>
              </w:rPr>
              <m:t>)&gt;0</m:t>
            </m:r>
          </m:e>
        </m:box>
      </m:oMath>
      <w:r>
        <w:t>. The square on the displacement is the Hadamard (elementwise) square of a length-</w:t>
      </w:r>
      <m:oMath>
        <m:box>
          <m:boxPr>
            <m:ctrlPr>
              <w:rPr>
                <w:rFonts w:ascii="Cambria Math" w:hAnsi="Cambria Math"/>
              </w:rPr>
            </m:ctrlPr>
          </m:boxPr>
          <m:e>
            <m:r>
              <w:rPr>
                <w:rFonts w:ascii="Cambria Math" w:hAnsi="Cambria Math"/>
              </w:rPr>
              <m:t>d</m:t>
            </m:r>
          </m:e>
        </m:box>
      </m:oMath>
      <w:r>
        <w:t xml:space="preserve"> vector; the subsequent product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e>
        </m:box>
      </m:oMath>
      <w:r>
        <w:t xml:space="preserve"> is an ordinary inner product and yields a scalar. In code this is </w:t>
      </w:r>
      <w:r>
        <w:rPr>
          <w:rFonts w:ascii="Consolas" w:hAnsi="Consolas"/>
        </w:rPr>
        <w:t>(a * diff * diff).sum(dim=-1)</w:t>
      </w:r>
      <w:r>
        <w:t xml:space="preserve"> with a factor of one-half. Temperature never enters that formula. What </w:t>
      </w:r>
      <m:oMath>
        <m:box>
          <m:boxPr>
            <m:ctrlPr>
              <w:rPr>
                <w:rFonts w:ascii="Cambria Math" w:hAnsi="Cambria Math"/>
              </w:rPr>
            </m:ctrlPr>
          </m:boxPr>
          <m:e>
            <m:r>
              <w:rPr>
                <w:rFonts w:ascii="Cambria Math" w:hAnsi="Cambria Math"/>
              </w:rPr>
              <m:t>τ</m:t>
            </m:r>
          </m:e>
        </m:box>
      </m:oMath>
      <w:r>
        <w:t xml:space="preserve"> controls is only the </w:t>
      </w:r>
      <w:r>
        <w:rPr>
          <w:b/>
        </w:rPr>
        <w:t>mixing rule</w:t>
      </w:r>
      <w:r>
        <w:t xml:space="preserve">: how the </w:t>
      </w:r>
      <m:oMath>
        <m:box>
          <m:boxPr>
            <m:ctrlPr>
              <w:rPr>
                <w:rFonts w:ascii="Cambria Math" w:hAnsi="Cambria Math"/>
              </w:rPr>
            </m:ctrlPr>
          </m:boxPr>
          <m:e>
            <m:r>
              <w:rPr>
                <w:rFonts w:ascii="Cambria Math" w:hAnsi="Cambria Math"/>
              </w:rPr>
              <m:t>K</m:t>
            </m:r>
          </m:e>
        </m:box>
      </m:oMath>
      <w:r>
        <w:t xml:space="preserve"> parabolas are aggregated into one landscape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75BB8500" w14:textId="77777777" w:rsidR="006D3718" w:rsidRDefault="006D3718"/>
    <w:p w14:paraId="06CF1E4A" w14:textId="77777777" w:rsidR="00E56717" w:rsidRDefault="00000000">
      <w:pPr>
        <w:pStyle w:val="Heading2"/>
      </w:pPr>
      <w:bookmarkStart w:id="6" w:name="_Toc240119368"/>
      <w:r>
        <w:t>Three mixing regimes</w:t>
      </w:r>
      <w:bookmarkEnd w:id="6"/>
    </w:p>
    <w:p w14:paraId="44EF2A8A" w14:textId="77777777" w:rsidR="006D3718" w:rsidRPr="006D3718" w:rsidRDefault="006D3718" w:rsidP="006D3718"/>
    <w:p w14:paraId="52C9B108" w14:textId="77777777" w:rsidR="00E56717" w:rsidRDefault="00000000">
      <w:r>
        <w:t xml:space="preserve">Write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for the lowest well at the current state, and assume the weights form a probability vector (</w:t>
      </w:r>
      <m:oMath>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=1</m:t>
                </m:r>
              </m:e>
            </m:nary>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&gt;0</m:t>
            </m:r>
          </m:e>
        </m:box>
      </m:oMath>
      <w:r>
        <w:t>). The log-sum-exp potential interpolates between a hard minimum, a probabilistic mixture, and a weighted average of the wells.</w:t>
      </w:r>
    </w:p>
    <w:p w14:paraId="1E9969EF" w14:textId="77777777" w:rsidR="00E56717" w:rsidRDefault="00000000">
      <w:r>
        <w:t xml:space="preserve">As </w:t>
      </w:r>
      <m:oMath>
        <m:box>
          <m:boxPr>
            <m:ctrlPr>
              <w:rPr>
                <w:rFonts w:ascii="Cambria Math" w:hAnsi="Cambria Math"/>
              </w:rPr>
            </m:ctrlPr>
          </m:boxPr>
          <m:e>
            <m:r>
              <w:rPr>
                <w:rFonts w:ascii="Cambria Math" w:hAnsi="Cambria Math"/>
              </w:rPr>
              <m:t>τ</m:t>
            </m:r>
            <m:r>
              <m:rPr>
                <m:sty m:val="p"/>
              </m:rPr>
              <w:rPr>
                <w:rFonts w:ascii="Cambria Math" w:hAnsi="Cambria Math"/>
              </w:rPr>
              <m:t>→0</m:t>
            </m:r>
          </m:e>
        </m:box>
      </m:oMath>
      <w:r>
        <w:t xml:space="preserve"> the sum is dominated by the smallest exponent. A standard Laplace argument then gives</w:t>
      </w:r>
    </w:p>
    <w:p w14:paraId="62B0FB2D" w14:textId="77777777" w:rsidR="006D3718" w:rsidRDefault="006D3718"/>
    <w:p w14:paraId="7E81AA1F"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w:rPr>
                  <w:rFonts w:ascii="Cambria Math" w:hAnsi="Cambria Math"/>
                </w:rPr>
                <m:t>⟶</m:t>
              </m:r>
              <m:r>
                <m:rPr>
                  <m:nor/>
                </m:rPr>
                <w:rPr>
                  <w:rFonts w:ascii="Cambria Math" w:hAnsi="Cambria Math"/>
                </w:rPr>
                <m:t> </m:t>
              </m:r>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m:oMathPara>
    </w:p>
    <w:p w14:paraId="49533C94" w14:textId="77777777" w:rsidR="006D3718" w:rsidRDefault="006D3718"/>
    <w:p w14:paraId="4F685F39" w14:textId="77777777" w:rsidR="00E56717" w:rsidRDefault="00000000">
      <w:r>
        <w:t xml:space="preserve">Geometrically this is a hard Voronoi partition of </w:t>
      </w:r>
      <m:oMath>
        <m:box>
          <m:boxPr>
            <m:ctrlPr>
              <w:rPr>
                <w:rFonts w:ascii="Cambria Math" w:hAnsi="Cambria Math"/>
              </w:rPr>
            </m:ctrlPr>
          </m:boxPr>
          <m:e>
            <m:r>
              <w:rPr>
                <w:rFonts w:ascii="Cambria Math" w:hAnsi="Cambria Math"/>
              </w:rPr>
              <m:t>h</m:t>
            </m:r>
          </m:e>
        </m:box>
      </m:oMath>
      <w:r>
        <w:t>-space: at each point only the currently deepest well is visible, and the landscape has sharp creases on the boundaries where two wells exchange the minimiser. The force is then piecewise that of a single parabola. In language-model language the analogue is greedy / argmax decoding: the particle “sees” only one well at a time.</w:t>
      </w:r>
    </w:p>
    <w:p w14:paraId="7219E033" w14:textId="77777777" w:rsidR="00E56717" w:rsidRDefault="00000000">
      <w:r>
        <w:t xml:space="preserve">At the canonical value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one recovers the negative log-likelihood of a mixture (up to an </w:t>
      </w:r>
      <m:oMath>
        <m:box>
          <m:boxPr>
            <m:ctrlPr>
              <w:rPr>
                <w:rFonts w:ascii="Cambria Math" w:hAnsi="Cambria Math"/>
              </w:rPr>
            </m:ctrlPr>
          </m:boxPr>
          <m:e>
            <m:r>
              <w:rPr>
                <w:rFonts w:ascii="Cambria Math" w:hAnsi="Cambria Math"/>
              </w:rPr>
              <m:t>h</m:t>
            </m:r>
          </m:e>
        </m:box>
      </m:oMath>
      <w:r>
        <w:t>-independent constant),</w:t>
      </w:r>
    </w:p>
    <w:p w14:paraId="65BB0434" w14:textId="77777777" w:rsidR="00E56717"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m:t>
                  </m:r>
                </m:e>
              </m:nary>
            </m:e>
          </m:box>
        </m:oMath>
      </m:oMathPara>
    </w:p>
    <w:p w14:paraId="529D2C83" w14:textId="77777777" w:rsidR="00E56717" w:rsidRDefault="00000000">
      <w:r>
        <w:t xml:space="preserve">When each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is the quadratic energy above,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box>
              </m:sup>
            </m:sSup>
          </m:e>
        </m:box>
      </m:oMath>
      <w:r>
        <w:t xml:space="preserve"> is — up to its own Gaussian normaliser — a diagonal Gaussian centred at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with covariance </w:t>
      </w:r>
      <m:oMath>
        <m:box>
          <m:boxPr>
            <m:ctrlPr>
              <w:rPr>
                <w:rFonts w:ascii="Cambria Math" w:hAnsi="Cambria Math"/>
              </w:rPr>
            </m:ctrlPr>
          </m:boxPr>
          <m:e>
            <m:r>
              <m:rPr>
                <m:nor/>
              </m:rPr>
              <w:rPr>
                <w:rFonts w:ascii="Cambria Math" w:hAnsi="Cambria Math"/>
              </w:rPr>
              <m:t>diag</m:t>
            </m:r>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Consequently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sup>
            </m:sSup>
          </m:e>
        </m:box>
      </m:oMath>
      <w:r>
        <w:t xml:space="preserve"> is a Gaussian-mixture density in </w:t>
      </w:r>
      <m:oMath>
        <m:box>
          <m:boxPr>
            <m:ctrlPr>
              <w:rPr>
                <w:rFonts w:ascii="Cambria Math" w:hAnsi="Cambria Math"/>
              </w:rPr>
            </m:ctrlPr>
          </m:boxPr>
          <m:e>
            <m:r>
              <w:rPr>
                <w:rFonts w:ascii="Cambria Math" w:hAnsi="Cambria Math"/>
              </w:rPr>
              <m:t>h</m:t>
            </m:r>
          </m:e>
        </m:box>
      </m:oMath>
      <w:r>
        <w:t xml:space="preserve"> given </w:t>
      </w:r>
      <m:oMath>
        <m:box>
          <m:boxPr>
            <m:ctrlPr>
              <w:rPr>
                <w:rFonts w:ascii="Cambria Math" w:hAnsi="Cambria Math"/>
              </w:rPr>
            </m:ctrlPr>
          </m:boxPr>
          <m:e>
            <m:r>
              <w:rPr>
                <w:rFonts w:ascii="Cambria Math" w:hAnsi="Cambria Math"/>
              </w:rPr>
              <m:t>ξ</m:t>
            </m:r>
          </m:e>
        </m:box>
      </m:oMath>
      <w:r>
        <w:t xml:space="preserve">. Nearby wells overlap smoothly: if </w:t>
      </w:r>
      <m:oMath>
        <m:box>
          <m:boxPr>
            <m:ctrlPr>
              <w:rPr>
                <w:rFonts w:ascii="Cambria Math" w:hAnsi="Cambria Math"/>
              </w:rPr>
            </m:ctrlPr>
          </m:boxPr>
          <m:e>
            <m:r>
              <w:rPr>
                <w:rFonts w:ascii="Cambria Math" w:hAnsi="Cambria Math"/>
              </w:rPr>
              <m:t>h</m:t>
            </m:r>
          </m:e>
        </m:box>
      </m:oMath>
      <w:r>
        <w:t xml:space="preserve"> sits between two centres, both contribute, and the landscape develops smooth saddles rather than creases.</w:t>
      </w:r>
    </w:p>
    <w:p w14:paraId="72C16D76" w14:textId="77777777" w:rsidR="00E56717" w:rsidRDefault="00000000">
      <w:r>
        <w:t xml:space="preserve">As </w:t>
      </w:r>
      <m:oMath>
        <m:box>
          <m:boxPr>
            <m:ctrlPr>
              <w:rPr>
                <w:rFonts w:ascii="Cambria Math" w:hAnsi="Cambria Math"/>
              </w:rPr>
            </m:ctrlPr>
          </m:boxPr>
          <m:e>
            <m:r>
              <w:rPr>
                <w:rFonts w:ascii="Cambria Math" w:hAnsi="Cambria Math"/>
              </w:rPr>
              <m:t>τ</m:t>
            </m:r>
            <m:r>
              <m:rPr>
                <m:sty m:val="p"/>
              </m:rPr>
              <w:rPr>
                <w:rFonts w:ascii="Cambria Math" w:hAnsi="Cambria Math"/>
              </w:rPr>
              <m:t>→∞</m:t>
            </m:r>
          </m:e>
        </m:box>
      </m:oMath>
      <w:r>
        <w:t xml:space="preserve"> a first-order expansion of the exponential gives the </w:t>
      </w:r>
      <m:oMath>
        <m:box>
          <m:boxPr>
            <m:ctrlPr>
              <w:rPr>
                <w:rFonts w:ascii="Cambria Math" w:hAnsi="Cambria Math"/>
              </w:rPr>
            </m:ctrlPr>
          </m:boxPr>
          <m:e>
            <m:r>
              <w:rPr>
                <w:rFonts w:ascii="Cambria Math" w:hAnsi="Cambria Math"/>
              </w:rPr>
              <m:t>π</m:t>
            </m:r>
          </m:e>
        </m:box>
      </m:oMath>
      <w:r>
        <w:t xml:space="preserve">-weighted average of the wells. Write </w:t>
      </w:r>
      <m:oMath>
        <m:box>
          <m:boxPr>
            <m:ctrlPr>
              <w:rPr>
                <w:rFonts w:ascii="Cambria Math" w:hAnsi="Cambria Math"/>
              </w:rPr>
            </m:ctrlPr>
          </m:boxPr>
          <m:e>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)=1-</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τ</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Then </w:t>
      </w:r>
      <m:oMath>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)=1-(</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τ</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nary>
              </m:e>
            </m:nary>
          </m:e>
        </m:box>
      </m:oMath>
      <w:r>
        <w:t xml:space="preserve">, and taking </w:t>
      </w:r>
      <m:oMath>
        <m:box>
          <m:boxPr>
            <m:ctrlPr>
              <w:rPr>
                <w:rFonts w:ascii="Cambria Math" w:hAnsi="Cambria Math"/>
              </w:rPr>
            </m:ctrlPr>
          </m:boxPr>
          <m:e>
            <m:r>
              <m:rPr>
                <m:sty m:val="p"/>
              </m:rPr>
              <w:rPr>
                <w:rFonts w:ascii="Cambria Math" w:hAnsi="Cambria Math"/>
              </w:rPr>
              <m:t>-</m:t>
            </m:r>
            <m:r>
              <w:rPr>
                <w:rFonts w:ascii="Cambria Math" w:hAnsi="Cambria Math"/>
              </w:rPr>
              <m:t>τ</m:t>
            </m:r>
            <m:r>
              <m:rPr>
                <m:sty m:val="p"/>
              </m:rPr>
              <w:rPr>
                <w:rFonts w:ascii="Cambria Math" w:hAnsi="Cambria Math"/>
              </w:rPr>
              <m:t>log</m:t>
            </m:r>
          </m:e>
        </m:box>
      </m:oMath>
      <w:r>
        <w:t xml:space="preserve"> of that expansion yields</w:t>
      </w:r>
    </w:p>
    <w:p w14:paraId="019139D6"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w:rPr>
                  <w:rFonts w:ascii="Cambria Math" w:hAnsi="Cambria Math"/>
                </w:rPr>
                <m:t>⟶</m:t>
              </m:r>
              <m:r>
                <m:rPr>
                  <m:nor/>
                </m:rPr>
                <w:rPr>
                  <w:rFonts w:ascii="Cambria Math" w:hAnsi="Cambria Math"/>
                </w:rPr>
                <m:t> </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72AA9D32" w14:textId="77777777" w:rsidR="006D3718" w:rsidRDefault="006D3718"/>
    <w:p w14:paraId="3B6484DC" w14:textId="77777777" w:rsidR="00E56717" w:rsidRDefault="00000000">
      <w:r>
        <w:t xml:space="preserve">This is </w:t>
      </w:r>
      <w:r>
        <w:rPr>
          <w:b/>
        </w:rPr>
        <w:t>not</w:t>
      </w:r>
      <w:r>
        <w:t xml:space="preserve"> necessarily the uniform average </w:t>
      </w:r>
      <m:oMath>
        <m:box>
          <m:boxPr>
            <m:ctrlPr>
              <w:rPr>
                <w:rFonts w:ascii="Cambria Math" w:hAnsi="Cambria Math"/>
              </w:rPr>
            </m:ctrlPr>
          </m:boxPr>
          <m:e>
            <m:r>
              <m:rPr>
                <m:sty m:val="p"/>
              </m:rPr>
              <w:rPr>
                <w:rFonts w:ascii="Cambria Math" w:hAnsi="Cambria Math"/>
              </w:rPr>
              <m:t>(1/</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The uniform average appears only when every weight equals </w:t>
      </w:r>
      <m:oMath>
        <m:box>
          <m:boxPr>
            <m:ctrlPr>
              <w:rPr>
                <w:rFonts w:ascii="Cambria Math" w:hAnsi="Cambria Math"/>
              </w:rPr>
            </m:ctrlPr>
          </m:boxPr>
          <m:e>
            <m:r>
              <m:rPr>
                <m:sty m:val="p"/>
              </m:rPr>
              <w:rPr>
                <w:rFonts w:ascii="Cambria Math" w:hAnsi="Cambria Math"/>
              </w:rPr>
              <m:t>1/</m:t>
            </m:r>
            <m:r>
              <w:rPr>
                <w:rFonts w:ascii="Cambria Math" w:hAnsi="Cambria Math"/>
              </w:rPr>
              <m:t>K</m:t>
            </m:r>
          </m:e>
        </m:box>
      </m:oMath>
      <w:r>
        <w:t xml:space="preserve">. In the generic case every well contributes everywhere, with strength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and the </w:t>
      </w:r>
      <m:oMath>
        <m:box>
          <m:boxPr>
            <m:ctrlPr>
              <w:rPr>
                <w:rFonts w:ascii="Cambria Math" w:hAnsi="Cambria Math"/>
              </w:rPr>
            </m:ctrlPr>
          </m:boxPr>
          <m:e>
            <m:r>
              <w:rPr>
                <w:rFonts w:ascii="Cambria Math" w:hAnsi="Cambria Math"/>
              </w:rPr>
              <m:t>K</m:t>
            </m:r>
          </m:e>
        </m:box>
      </m:oMath>
      <w:r>
        <w:t xml:space="preserve"> basins merge into one broad bowl — the analogue of uniform sampling.</w:t>
      </w:r>
    </w:p>
    <w:p w14:paraId="1A49B5A8" w14:textId="77777777" w:rsidR="00E56717" w:rsidRDefault="00000000">
      <w:r>
        <w:t xml:space="preserve">A useful intuition is to treat </w:t>
      </w:r>
      <m:oMath>
        <m:box>
          <m:boxPr>
            <m:ctrlPr>
              <w:rPr>
                <w:rFonts w:ascii="Cambria Math" w:hAnsi="Cambria Math"/>
              </w:rPr>
            </m:ctrlPr>
          </m:boxPr>
          <m:e>
            <m:r>
              <w:rPr>
                <w:rFonts w:ascii="Cambria Math" w:hAnsi="Cambria Math"/>
              </w:rPr>
              <m:t>τ</m:t>
            </m:r>
          </m:e>
        </m:box>
      </m:oMath>
      <w:r>
        <w:t xml:space="preserve"> as a </w:t>
      </w:r>
      <w:r>
        <w:rPr>
          <w:b/>
        </w:rPr>
        <w:t>blending radius</w:t>
      </w:r>
      <w:r>
        <w:t xml:space="preserve">. At low temperature the landscape is piecewise quadratic and only the nearest (lowest-energy) well matters at a given </w:t>
      </w:r>
      <m:oMath>
        <m:box>
          <m:boxPr>
            <m:ctrlPr>
              <w:rPr>
                <w:rFonts w:ascii="Cambria Math" w:hAnsi="Cambria Math"/>
              </w:rPr>
            </m:ctrlPr>
          </m:boxPr>
          <m:e>
            <m:r>
              <w:rPr>
                <w:rFonts w:ascii="Cambria Math" w:hAnsi="Cambria Math"/>
              </w:rPr>
              <m:t>h</m:t>
            </m:r>
          </m:e>
        </m:box>
      </m:oMath>
      <w:r>
        <w:t xml:space="preserve">. At unit temperature neighbouring wells overlap and the saddles between attractors are smooth. At high temperature the separate attractors dissolve into a single global basin. The three regimes may be summarised as follows. (The later table under “What </w:t>
      </w:r>
      <m:oMath>
        <m:box>
          <m:boxPr>
            <m:ctrlPr>
              <w:rPr>
                <w:rFonts w:ascii="Cambria Math" w:hAnsi="Cambria Math"/>
              </w:rPr>
            </m:ctrlPr>
          </m:boxPr>
          <m:e>
            <m:r>
              <w:rPr>
                <w:rFonts w:ascii="Cambria Math" w:hAnsi="Cambria Math"/>
              </w:rPr>
              <m:t>τ</m:t>
            </m:r>
          </m:e>
        </m:box>
      </m:oMath>
      <w:r>
        <w:t xml:space="preserve"> controls” is the same comparison, specialised to the SQ3 discussion in the quadratic-well section.)</w:t>
      </w:r>
    </w:p>
    <w:tbl>
      <w:tblPr>
        <w:tblStyle w:val="TableGrid"/>
        <w:tblW w:w="0" w:type="auto"/>
        <w:tblLook w:val="04A0" w:firstRow="1" w:lastRow="0" w:firstColumn="1" w:lastColumn="0" w:noHBand="0" w:noVBand="1"/>
      </w:tblPr>
      <w:tblGrid>
        <w:gridCol w:w="3116"/>
        <w:gridCol w:w="3117"/>
        <w:gridCol w:w="3117"/>
      </w:tblGrid>
      <w:tr w:rsidR="00E56717" w14:paraId="0E874697" w14:textId="77777777">
        <w:tc>
          <w:tcPr>
            <w:tcW w:w="3120" w:type="dxa"/>
          </w:tcPr>
          <w:p w14:paraId="18CAA2C9" w14:textId="77777777" w:rsidR="00E56717" w:rsidRDefault="00000000">
            <m:oMathPara>
              <m:oMath>
                <m:box>
                  <m:boxPr>
                    <m:ctrlPr>
                      <w:rPr>
                        <w:rFonts w:ascii="Cambria Math" w:hAnsi="Cambria Math"/>
                      </w:rPr>
                    </m:ctrlPr>
                  </m:boxPr>
                  <m:e>
                    <m:r>
                      <w:rPr>
                        <w:rFonts w:ascii="Cambria Math" w:hAnsi="Cambria Math"/>
                      </w:rPr>
                      <m:t>τ</m:t>
                    </m:r>
                  </m:e>
                </m:box>
              </m:oMath>
            </m:oMathPara>
          </w:p>
        </w:tc>
        <w:tc>
          <w:tcPr>
            <w:tcW w:w="3120" w:type="dxa"/>
          </w:tcPr>
          <w:p w14:paraId="30D3A7B3" w14:textId="77777777" w:rsidR="00E56717" w:rsidRDefault="00000000">
            <w:r>
              <w:rPr>
                <w:b/>
              </w:rPr>
              <w:t xml:space="preserve">Effective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p>
        </w:tc>
        <w:tc>
          <w:tcPr>
            <w:tcW w:w="3120" w:type="dxa"/>
          </w:tcPr>
          <w:p w14:paraId="42D55E16" w14:textId="77777777" w:rsidR="00E56717" w:rsidRDefault="00000000">
            <w:r>
              <w:rPr>
                <w:b/>
              </w:rPr>
              <w:t>Geometric picture</w:t>
            </w:r>
          </w:p>
        </w:tc>
      </w:tr>
      <w:tr w:rsidR="00E56717" w14:paraId="7973E6A1" w14:textId="77777777">
        <w:tc>
          <w:tcPr>
            <w:tcW w:w="3120" w:type="dxa"/>
          </w:tcPr>
          <w:p w14:paraId="76ABC51A" w14:textId="77777777" w:rsidR="00E56717" w:rsidRDefault="00000000">
            <m:oMathPara>
              <m:oMath>
                <m:box>
                  <m:boxPr>
                    <m:ctrlPr>
                      <w:rPr>
                        <w:rFonts w:ascii="Cambria Math" w:hAnsi="Cambria Math"/>
                      </w:rPr>
                    </m:ctrlPr>
                  </m:boxPr>
                  <m:e>
                    <m:r>
                      <w:rPr>
                        <w:rFonts w:ascii="Cambria Math" w:hAnsi="Cambria Math"/>
                      </w:rPr>
                      <m:t>τ</m:t>
                    </m:r>
                    <m:r>
                      <m:rPr>
                        <m:sty m:val="p"/>
                      </m:rPr>
                      <w:rPr>
                        <w:rFonts w:ascii="Cambria Math" w:hAnsi="Cambria Math"/>
                      </w:rPr>
                      <m:t>→0</m:t>
                    </m:r>
                  </m:e>
                </m:box>
              </m:oMath>
            </m:oMathPara>
          </w:p>
        </w:tc>
        <w:tc>
          <w:tcPr>
            <w:tcW w:w="3120" w:type="dxa"/>
          </w:tcPr>
          <w:p w14:paraId="36B563C4" w14:textId="77777777" w:rsidR="00E56717" w:rsidRDefault="00000000">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box>
              </m:oMath>
            </m:oMathPara>
          </w:p>
        </w:tc>
        <w:tc>
          <w:tcPr>
            <w:tcW w:w="3120" w:type="dxa"/>
          </w:tcPr>
          <w:p w14:paraId="67C130A4" w14:textId="77777777" w:rsidR="00E56717" w:rsidRDefault="00000000">
            <w:r>
              <w:t>Hard Voronoi partition: each well owns its region; sharp creases at basin boundaries.</w:t>
            </w:r>
          </w:p>
        </w:tc>
      </w:tr>
      <w:tr w:rsidR="00E56717" w14:paraId="6E72E433" w14:textId="77777777">
        <w:tc>
          <w:tcPr>
            <w:tcW w:w="3120" w:type="dxa"/>
          </w:tcPr>
          <w:p w14:paraId="6E63B3A2" w14:textId="77777777" w:rsidR="00E56717" w:rsidRDefault="00000000">
            <m:oMathPara>
              <m:oMath>
                <m:box>
                  <m:boxPr>
                    <m:ctrlPr>
                      <w:rPr>
                        <w:rFonts w:ascii="Cambria Math" w:hAnsi="Cambria Math"/>
                      </w:rPr>
                    </m:ctrlPr>
                  </m:boxPr>
                  <m:e>
                    <m:r>
                      <w:rPr>
                        <w:rFonts w:ascii="Cambria Math" w:hAnsi="Cambria Math"/>
                      </w:rPr>
                      <m:t>τ</m:t>
                    </m:r>
                    <m:r>
                      <m:rPr>
                        <m:sty m:val="p"/>
                      </m:rPr>
                      <w:rPr>
                        <w:rFonts w:ascii="Cambria Math" w:hAnsi="Cambria Math"/>
                      </w:rPr>
                      <m:t>=1</m:t>
                    </m:r>
                  </m:e>
                </m:box>
              </m:oMath>
            </m:oMathPara>
          </w:p>
        </w:tc>
        <w:tc>
          <w:tcPr>
            <w:tcW w:w="3120" w:type="dxa"/>
          </w:tcPr>
          <w:p w14:paraId="01EF4584" w14:textId="77777777" w:rsidR="00E56717" w:rsidRDefault="00000000">
            <m:oMathPara>
              <m:oMath>
                <m:box>
                  <m:boxPr>
                    <m:ctrlPr>
                      <w:rPr>
                        <w:rFonts w:ascii="Cambria Math" w:hAnsi="Cambria Math"/>
                      </w:rPr>
                    </m:ctrlPr>
                  </m:boxPr>
                  <m:e>
                    <m:r>
                      <m:rPr>
                        <m:sty m:val="p"/>
                      </m:rPr>
                      <w:rPr>
                        <w:rFonts w:ascii="Cambria Math" w:hAnsi="Cambria Math"/>
                      </w:rPr>
                      <m:t>-log</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box>
                          </m:sup>
                        </m:sSup>
                      </m:e>
                    </m:nary>
                  </m:e>
                </m:box>
              </m:oMath>
            </m:oMathPara>
          </w:p>
        </w:tc>
        <w:tc>
          <w:tcPr>
            <w:tcW w:w="3120" w:type="dxa"/>
          </w:tcPr>
          <w:p w14:paraId="534A8F93" w14:textId="77777777" w:rsidR="00E56717" w:rsidRDefault="00000000">
            <w:r>
              <w:t xml:space="preserve">Smooth soft-minimum. For quadratic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the negative log-likelihood of a Gaussian mixture (up to a constant).</w:t>
            </w:r>
          </w:p>
        </w:tc>
      </w:tr>
      <w:tr w:rsidR="00E56717" w14:paraId="4B1CBAF1" w14:textId="77777777">
        <w:tc>
          <w:tcPr>
            <w:tcW w:w="3120" w:type="dxa"/>
          </w:tcPr>
          <w:p w14:paraId="48A97BA7" w14:textId="77777777" w:rsidR="00E56717" w:rsidRDefault="00000000">
            <m:oMathPara>
              <m:oMath>
                <m:box>
                  <m:boxPr>
                    <m:ctrlPr>
                      <w:rPr>
                        <w:rFonts w:ascii="Cambria Math" w:hAnsi="Cambria Math"/>
                      </w:rPr>
                    </m:ctrlPr>
                  </m:boxPr>
                  <m:e>
                    <m:r>
                      <w:rPr>
                        <w:rFonts w:ascii="Cambria Math" w:hAnsi="Cambria Math"/>
                      </w:rPr>
                      <m:t>τ</m:t>
                    </m:r>
                    <m:r>
                      <m:rPr>
                        <m:sty m:val="p"/>
                      </m:rPr>
                      <w:rPr>
                        <w:rFonts w:ascii="Cambria Math" w:hAnsi="Cambria Math"/>
                      </w:rPr>
                      <m:t>→∞</m:t>
                    </m:r>
                  </m:e>
                </m:box>
              </m:oMath>
            </m:oMathPara>
          </w:p>
        </w:tc>
        <w:tc>
          <w:tcPr>
            <w:tcW w:w="3120" w:type="dxa"/>
          </w:tcPr>
          <w:p w14:paraId="28F98AB7" w14:textId="77777777" w:rsidR="00E56717" w:rsidRDefault="00000000">
            <m:oMathPara>
              <m:oMath>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nary>
                  </m:e>
                </m:box>
              </m:oMath>
            </m:oMathPara>
          </w:p>
        </w:tc>
        <w:tc>
          <w:tcPr>
            <w:tcW w:w="3120" w:type="dxa"/>
          </w:tcPr>
          <w:p w14:paraId="084B482E" w14:textId="77777777" w:rsidR="00E56717" w:rsidRDefault="00000000">
            <w:r>
              <w:t xml:space="preserve">Weighted average of all wells; one merged basin. Reduces to </w:t>
            </w:r>
            <m:oMath>
              <m:box>
                <m:boxPr>
                  <m:ctrlPr>
                    <w:rPr>
                      <w:rFonts w:ascii="Cambria Math" w:hAnsi="Cambria Math"/>
                    </w:rPr>
                  </m:ctrlPr>
                </m:boxPr>
                <m:e>
                  <m:r>
                    <m:rPr>
                      <m:sty m:val="p"/>
                    </m:rPr>
                    <w:rPr>
                      <w:rFonts w:ascii="Cambria Math" w:hAnsi="Cambria Math"/>
                    </w:rPr>
                    <m:t>(1/</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only when the weights are uniform.</w:t>
            </w:r>
          </w:p>
        </w:tc>
      </w:tr>
    </w:tbl>
    <w:p w14:paraId="24AB4EB9" w14:textId="77777777" w:rsidR="006D3718" w:rsidRDefault="006D3718"/>
    <w:p w14:paraId="283C8C2A" w14:textId="1001807F" w:rsidR="00E56717" w:rsidRDefault="00000000">
      <w:pPr>
        <w:rPr>
          <w:rFonts w:eastAsiaTheme="minorEastAsia"/>
        </w:rPr>
      </w:pPr>
      <w:r>
        <w:t xml:space="preserve">A quantitative sandwich makes the same statement without taking limits. For any </w:t>
      </w:r>
      <m:oMath>
        <m:box>
          <m:boxPr>
            <m:ctrlPr>
              <w:rPr>
                <w:rFonts w:ascii="Cambria Math" w:hAnsi="Cambria Math"/>
              </w:rPr>
            </m:ctrlPr>
          </m:boxPr>
          <m:e>
            <m:r>
              <w:rPr>
                <w:rFonts w:ascii="Cambria Math" w:hAnsi="Cambria Math"/>
              </w:rPr>
              <m:t>τ</m:t>
            </m:r>
            <m:r>
              <m:rPr>
                <m:sty m:val="p"/>
              </m:rPr>
              <w:rPr>
                <w:rFonts w:ascii="Cambria Math" w:hAnsi="Cambria Math"/>
              </w:rPr>
              <m:t>&gt;0</m:t>
            </m:r>
          </m:e>
        </m:box>
      </m:oMath>
    </w:p>
    <w:p w14:paraId="6E8FBE43" w14:textId="77777777" w:rsidR="006D3718" w:rsidRDefault="006D3718"/>
    <w:p w14:paraId="35D9EE37"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m:rPr>
                  <m:sty m:val="p"/>
                </m:rPr>
                <w:rPr>
                  <w:rFonts w:ascii="Cambria Math" w:hAnsi="Cambria Math"/>
                </w:rPr>
                <m:t>≤</m:t>
              </m:r>
              <m:r>
                <m:rPr>
                  <m:nor/>
                </m:rPr>
                <w:rPr>
                  <w:rFonts w:ascii="Cambria Math" w:hAnsi="Cambria Math"/>
                </w:rPr>
                <m:t> </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m:rPr>
                  <m:sty m:val="p"/>
                </m:rPr>
                <w:rPr>
                  <w:rFonts w:ascii="Cambria Math" w:hAnsi="Cambria Math"/>
                </w:rPr>
                <m:t>≤</m:t>
              </m:r>
              <m:r>
                <m:rPr>
                  <m:nor/>
                </m:rPr>
                <w:rPr>
                  <w:rFonts w:ascii="Cambria Math" w:hAnsi="Cambria Math"/>
                </w:rPr>
                <m:t> </m:t>
              </m:r>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log</m:t>
              </m:r>
              <m:sSub>
                <m:sSubPr>
                  <m:ctrlPr>
                    <w:rPr>
                      <w:rFonts w:ascii="Cambria Math" w:hAnsi="Cambria Math"/>
                    </w:rPr>
                  </m:ctrlPr>
                </m:sSubPr>
                <m:e>
                  <m:r>
                    <w:rPr>
                      <w:rFonts w:ascii="Cambria Math" w:hAnsi="Cambria Math"/>
                    </w:rPr>
                    <m:t>π</m:t>
                  </m:r>
                </m:e>
                <m:sub>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0972AC0C" w14:textId="77777777" w:rsidR="006D3718" w:rsidRDefault="006D3718"/>
    <w:p w14:paraId="04948E59" w14:textId="77777777" w:rsidR="00E56717" w:rsidRDefault="00000000">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m:rPr>
                        <m:sty m:val="p"/>
                      </m:rPr>
                      <w:rPr>
                        <w:rFonts w:ascii="Cambria Math" w:hAnsi="Cambria Math"/>
                      </w:rPr>
                      <m:t>*</m:t>
                    </m:r>
                  </m:e>
                </m:box>
              </m:sub>
            </m:sSub>
          </m:e>
        </m:box>
      </m:oMath>
      <w:r>
        <w:t xml:space="preserve"> is a minimising index. The lower bound holds because a convex combination of Boltzmann weights cannot exceed the largest of them, which is </w:t>
      </w:r>
      <m:oMath>
        <m:box>
          <m:boxPr>
            <m:ctrlPr>
              <w:rPr>
                <w:rFonts w:ascii="Cambria Math" w:hAnsi="Cambria Math"/>
              </w:rPr>
            </m:ctrlPr>
          </m:boxPr>
          <m:e>
            <m:r>
              <m:rPr>
                <m:sty m:val="p"/>
              </m:rPr>
              <w:rPr>
                <w:rFonts w:ascii="Cambria Math" w:hAnsi="Cambria Math"/>
              </w:rPr>
              <m:t>exp(-</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The upper bound holds because the mixture is at least as large as its largest single term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exp(-</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If the weights are uniform,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=1/</m:t>
            </m:r>
            <m:r>
              <w:rPr>
                <w:rFonts w:ascii="Cambria Math" w:hAnsi="Cambria Math"/>
              </w:rPr>
              <m:t>K</m:t>
            </m:r>
          </m:e>
        </m:box>
      </m:oMath>
      <w:r>
        <w:t xml:space="preserve">, the gap is at most </w:t>
      </w:r>
      <m:oMath>
        <m:box>
          <m:boxPr>
            <m:ctrlPr>
              <w:rPr>
                <w:rFonts w:ascii="Cambria Math" w:hAnsi="Cambria Math"/>
              </w:rPr>
            </m:ctrlPr>
          </m:boxPr>
          <m:e>
            <m:r>
              <w:rPr>
                <w:rFonts w:ascii="Cambria Math" w:hAnsi="Cambria Math"/>
              </w:rPr>
              <m:t>τ</m:t>
            </m:r>
            <m:r>
              <m:rPr>
                <m:sty m:val="p"/>
              </m:rPr>
              <w:rPr>
                <w:rFonts w:ascii="Cambria Math" w:hAnsi="Cambria Math"/>
              </w:rPr>
              <m:t>log</m:t>
            </m:r>
            <m:r>
              <w:rPr>
                <w:rFonts w:ascii="Cambria Math" w:hAnsi="Cambria Math"/>
              </w:rPr>
              <m:t>K</m:t>
            </m:r>
          </m:e>
        </m:box>
      </m:oMath>
      <w:r>
        <w:t xml:space="preserve">. Thus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is always a smoothed upper envelope of the hard minimum, and the smoothing width is proportional to temperature.</w:t>
      </w:r>
    </w:p>
    <w:p w14:paraId="3D17958E" w14:textId="77777777" w:rsidR="006D3718" w:rsidRDefault="006D3718"/>
    <w:p w14:paraId="5225A20E" w14:textId="77777777" w:rsidR="00E56717" w:rsidRDefault="00000000">
      <w:pPr>
        <w:pStyle w:val="Heading2"/>
      </w:pPr>
      <w:bookmarkStart w:id="7" w:name="_Toc240119369"/>
      <w:r>
        <w:t>Unit temperature, responsibilities, and the force</w:t>
      </w:r>
      <w:bookmarkEnd w:id="7"/>
    </w:p>
    <w:p w14:paraId="08C6D5FF" w14:textId="77777777" w:rsidR="00E56717" w:rsidRDefault="00000000">
      <w:r>
        <w:t xml:space="preserve">The value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is canonical because it matches energy units to probability units with no extra rescaling. Then</w:t>
      </w:r>
    </w:p>
    <w:p w14:paraId="2CB0A25C" w14:textId="77777777" w:rsidR="006D3718" w:rsidRDefault="006D3718"/>
    <w:p w14:paraId="4F0C421F" w14:textId="77777777" w:rsidR="00E56717" w:rsidRPr="006D3718" w:rsidRDefault="00000000">
      <w:pPr>
        <w:rPr>
          <w:rFonts w:eastAsiaTheme="minorEastAsia"/>
        </w:rPr>
      </w:pPr>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m:t>
                  </m:r>
                </m:e>
              </m:nary>
            </m:e>
          </m:box>
        </m:oMath>
      </m:oMathPara>
    </w:p>
    <w:p w14:paraId="3F6B3C9F" w14:textId="77777777" w:rsidR="006D3718" w:rsidRDefault="006D3718"/>
    <w:p w14:paraId="245178BA" w14:textId="77777777" w:rsidR="00E56717" w:rsidRDefault="00000000">
      <w:r>
        <w:t xml:space="preserve">which is, for quadratic wells, the un-normalised Gaussian-mixture density in </w:t>
      </w:r>
      <m:oMath>
        <m:box>
          <m:boxPr>
            <m:ctrlPr>
              <w:rPr>
                <w:rFonts w:ascii="Cambria Math" w:hAnsi="Cambria Math"/>
              </w:rPr>
            </m:ctrlPr>
          </m:boxPr>
          <m:e>
            <m:r>
              <w:rPr>
                <w:rFonts w:ascii="Cambria Math" w:hAnsi="Cambria Math"/>
              </w:rPr>
              <m:t>h</m:t>
            </m:r>
          </m:e>
        </m:box>
      </m:oMath>
      <w:r>
        <w:t xml:space="preserve"> given </w:t>
      </w:r>
      <m:oMath>
        <m:box>
          <m:boxPr>
            <m:ctrlPr>
              <w:rPr>
                <w:rFonts w:ascii="Cambria Math" w:hAnsi="Cambria Math"/>
              </w:rPr>
            </m:ctrlPr>
          </m:boxPr>
          <m:e>
            <m:r>
              <w:rPr>
                <w:rFonts w:ascii="Cambria Math" w:hAnsi="Cambria Math"/>
              </w:rPr>
              <m:t>ξ</m:t>
            </m:r>
          </m:e>
        </m:box>
      </m:oMath>
      <w:r>
        <w:t xml:space="preserve">.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are the modes of that mixture. The force used by the integrator is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and therefore points toward those modes. Differentiating the log-sum-exp gives an average of the per-well gradients, weighted by the posterior responsibilities</w:t>
      </w:r>
    </w:p>
    <w:p w14:paraId="22F68A5F" w14:textId="77777777" w:rsidR="006D3718" w:rsidRDefault="006D3718"/>
    <w:p w14:paraId="64914CC3"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m:t>
                      </m:r>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j</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m:t>
                          </m:r>
                        </m:e>
                      </m:nary>
                    </m:e>
                  </m:box>
                </m:den>
              </m:f>
              <m:r>
                <m:rPr>
                  <m:sty m:val="p"/>
                </m:rPr>
                <w:rPr>
                  <w:rFonts w:ascii="Cambria Math" w:hAnsi="Cambria Math"/>
                </w:rPr>
                <m:t>.</m:t>
              </m:r>
            </m:e>
          </m:box>
        </m:oMath>
      </m:oMathPara>
    </w:p>
    <w:p w14:paraId="64C7DB23" w14:textId="77777777" w:rsidR="006D3718" w:rsidRDefault="006D3718"/>
    <w:p w14:paraId="353AC2D6" w14:textId="77777777" w:rsidR="00E56717" w:rsidRDefault="00000000">
      <w:r>
        <w:lastRenderedPageBreak/>
        <w:t xml:space="preserve">These are exactly </w:t>
      </w:r>
      <w:r>
        <w:rPr>
          <w:rFonts w:ascii="Consolas" w:hAnsi="Consolas"/>
        </w:rPr>
        <w:t>softmax_k(-E_k/tau + log pi_k)</w:t>
      </w:r>
      <w:r>
        <w:t xml:space="preserve"> in </w:t>
      </w:r>
      <w:r>
        <w:rPr>
          <w:rFonts w:ascii="Consolas" w:hAnsi="Consolas"/>
        </w:rPr>
        <w:t>MixtureQuadraticVTheta</w:t>
      </w:r>
      <w:r>
        <w:t xml:space="preserve">. They are nonnegative and sum to one, so they are a soft assignment of the current hidden state to the </w:t>
      </w:r>
      <m:oMath>
        <m:box>
          <m:boxPr>
            <m:ctrlPr>
              <w:rPr>
                <w:rFonts w:ascii="Cambria Math" w:hAnsi="Cambria Math"/>
              </w:rPr>
            </m:ctrlPr>
          </m:boxPr>
          <m:e>
            <m:r>
              <w:rPr>
                <w:rFonts w:ascii="Cambria Math" w:hAnsi="Cambria Math"/>
              </w:rPr>
              <m:t>K</m:t>
            </m:r>
          </m:e>
        </m:box>
      </m:oMath>
      <w:r>
        <w:t xml:space="preserve"> wells. For the quadratic family the per-well gradient is the linear spring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and</w:t>
      </w:r>
    </w:p>
    <w:p w14:paraId="612365FE" w14:textId="77777777" w:rsidR="006D3718" w:rsidRDefault="006D3718"/>
    <w:p w14:paraId="2A515819"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nary>
            </m:e>
          </m:box>
        </m:oMath>
      </m:oMathPara>
    </w:p>
    <w:p w14:paraId="517B8199" w14:textId="77777777" w:rsidR="006D3718" w:rsidRDefault="006D3718"/>
    <w:p w14:paraId="0DAD6E15" w14:textId="77777777" w:rsidR="00E56717" w:rsidRDefault="00000000">
      <w:r>
        <w:t xml:space="preserve">The method </w:t>
      </w:r>
      <w:r>
        <w:rPr>
          <w:rFonts w:ascii="Consolas" w:hAnsi="Consolas"/>
        </w:rPr>
        <w:t>analytical_grad</w:t>
      </w:r>
      <w:r>
        <w:t xml:space="preserve"> returns this gradient; the integrator uses the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In the constructor the default is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w:t>
      </w:r>
      <w:r>
        <w:rPr>
          <w:rFonts w:ascii="Consolas" w:hAnsi="Consolas"/>
        </w:rPr>
        <w:t>MixtureQuadraticVTheta(..., tau=1.0)</w:t>
      </w:r>
      <w:r>
        <w:t xml:space="preserve">). Making </w:t>
      </w:r>
      <m:oMath>
        <m:box>
          <m:boxPr>
            <m:ctrlPr>
              <w:rPr>
                <w:rFonts w:ascii="Cambria Math" w:hAnsi="Cambria Math"/>
              </w:rPr>
            </m:ctrlPr>
          </m:boxPr>
          <m:e>
            <m:r>
              <w:rPr>
                <w:rFonts w:ascii="Cambria Math" w:hAnsi="Cambria Math"/>
              </w:rPr>
              <m:t>τ</m:t>
            </m:r>
          </m:e>
        </m:box>
      </m:oMath>
      <w:r>
        <w:t xml:space="preserve"> a second learnable scalar is redundant for </w:t>
      </w:r>
      <w:r>
        <w:rPr>
          <w:b/>
        </w:rPr>
        <w:t>quadratic</w:t>
      </w:r>
      <w:r>
        <w:t xml:space="preserve"> wells: dividing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by </w:t>
      </w:r>
      <m:oMath>
        <m:box>
          <m:boxPr>
            <m:ctrlPr>
              <w:rPr>
                <w:rFonts w:ascii="Cambria Math" w:hAnsi="Cambria Math"/>
              </w:rPr>
            </m:ctrlPr>
          </m:boxPr>
          <m:e>
            <m:r>
              <w:rPr>
                <w:rFonts w:ascii="Cambria Math" w:hAnsi="Cambria Math"/>
              </w:rPr>
              <m:t>τ</m:t>
            </m:r>
          </m:e>
        </m:box>
      </m:oMath>
      <w:r>
        <w:t xml:space="preserve"> is the same as replacing the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by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τ</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is already produced by a learned map </w:t>
      </w:r>
      <w:r>
        <w:rPr>
          <w:rFonts w:ascii="Consolas" w:hAnsi="Consolas"/>
        </w:rPr>
        <w:t>a_proj</w:t>
      </w:r>
      <w:r>
        <w:t xml:space="preserve">. For a non-quadratic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the two operations are no longer equivalent, and an explicit </w:t>
      </w:r>
      <m:oMath>
        <m:box>
          <m:boxPr>
            <m:ctrlPr>
              <w:rPr>
                <w:rFonts w:ascii="Cambria Math" w:hAnsi="Cambria Math"/>
              </w:rPr>
            </m:ctrlPr>
          </m:boxPr>
          <m:e>
            <m:r>
              <w:rPr>
                <w:rFonts w:ascii="Cambria Math" w:hAnsi="Cambria Math"/>
              </w:rPr>
              <m:t>τ</m:t>
            </m:r>
          </m:e>
        </m:box>
      </m:oMath>
      <w:r>
        <w:t xml:space="preserve"> would be a genuine extra degree of freedom.</w:t>
      </w:r>
    </w:p>
    <w:p w14:paraId="5164DB8B" w14:textId="77777777" w:rsidR="00E56717" w:rsidRDefault="00000000">
      <w:r>
        <w:t xml:space="preserve">This log-sum-exp construction is </w:t>
      </w:r>
      <w:r>
        <w:rPr>
          <w:b/>
        </w:rPr>
        <w:t>not</w:t>
      </w:r>
      <w:r>
        <w:t xml:space="preserve"> the production Gaussian potential used in Fock-PARFLM. Class </w:t>
      </w:r>
      <w:r>
        <w:rPr>
          <w:rFonts w:ascii="Consolas" w:hAnsi="Consolas"/>
        </w:rPr>
        <w:t>MixtureGaussianVTheta</w:t>
      </w:r>
      <w:r>
        <w:t xml:space="preserve"> replaces the mixture of quadratics by a sum of bounded negative Gaussian bumps, precisely because the log-sum-exp force is unbounded. That family has no temperature parameter and is </w:t>
      </w:r>
      <w:r>
        <w:rPr>
          <w:b/>
        </w:rPr>
        <w:t>not</w:t>
      </w:r>
      <w:r>
        <w:t xml:space="preserve"> the negative logarithm of a Gaussian mixture; it is treated in the Gaussian Wells subsection below.</w:t>
      </w:r>
    </w:p>
    <w:p w14:paraId="7D7E3BDA" w14:textId="77777777" w:rsidR="006D3718" w:rsidRDefault="006D3718"/>
    <w:p w14:paraId="25473B04" w14:textId="77777777" w:rsidR="00E56717" w:rsidRDefault="00000000">
      <w:pPr>
        <w:pStyle w:val="Heading2"/>
      </w:pPr>
      <w:bookmarkStart w:id="8" w:name="_Toc240119370"/>
      <w:r>
        <w:t>The mixing rule does not assume quadratic wells</w:t>
      </w:r>
      <w:bookmarkEnd w:id="8"/>
    </w:p>
    <w:p w14:paraId="7FC677F9" w14:textId="77777777" w:rsidR="006D3718" w:rsidRPr="006D3718" w:rsidRDefault="006D3718" w:rsidP="006D3718"/>
    <w:p w14:paraId="38AFC1ED" w14:textId="77777777" w:rsidR="00E56717" w:rsidRDefault="00000000">
      <w:r>
        <w:t xml:space="preserve">Nothing in the definition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requires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to be a parabola. The same temperature-smoothed log-sum-exp is an aggregation rule for any collection of </w:t>
      </w:r>
      <m:oMath>
        <m:box>
          <m:boxPr>
            <m:ctrlPr>
              <w:rPr>
                <w:rFonts w:ascii="Cambria Math" w:hAnsi="Cambria Math"/>
              </w:rPr>
            </m:ctrlPr>
          </m:boxPr>
          <m:e>
            <m:r>
              <w:rPr>
                <w:rFonts w:ascii="Cambria Math" w:hAnsi="Cambria Math"/>
              </w:rPr>
              <m:t>K</m:t>
            </m:r>
          </m:e>
        </m:box>
      </m:oMath>
      <w:r>
        <w:t xml:space="preserve"> scalar component energies. What changes with the choice of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is the shape of each well and the name of the associated Boltzmann weight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e>
                </m:box>
              </m:sup>
            </m:sSup>
          </m:e>
        </m:box>
      </m:oMath>
      <w:r>
        <w:t xml:space="preserve">, not the meaning of </w:t>
      </w:r>
      <m:oMath>
        <m:box>
          <m:boxPr>
            <m:ctrlPr>
              <w:rPr>
                <w:rFonts w:ascii="Cambria Math" w:hAnsi="Cambria Math"/>
              </w:rPr>
            </m:ctrlPr>
          </m:boxPr>
          <m:e>
            <m:r>
              <w:rPr>
                <w:rFonts w:ascii="Cambria Math" w:hAnsi="Cambria Math"/>
              </w:rPr>
              <m:t>τ</m:t>
            </m:r>
          </m:e>
        </m:box>
      </m:oMath>
      <w:r>
        <w:t xml:space="preserve"> as a blending radius. The three mixing regimes of the previous subsection continue to apply, with the same hard-minimum, unit-temperature, and high-temperature limits.</w:t>
      </w:r>
    </w:p>
    <w:tbl>
      <w:tblPr>
        <w:tblStyle w:val="TableGrid"/>
        <w:tblW w:w="0" w:type="auto"/>
        <w:tblLook w:val="04A0" w:firstRow="1" w:lastRow="0" w:firstColumn="1" w:lastColumn="0" w:noHBand="0" w:noVBand="1"/>
      </w:tblPr>
      <w:tblGrid>
        <w:gridCol w:w="3118"/>
        <w:gridCol w:w="3116"/>
        <w:gridCol w:w="3116"/>
      </w:tblGrid>
      <w:tr w:rsidR="00E56717" w14:paraId="736CCB85" w14:textId="77777777">
        <w:tc>
          <w:tcPr>
            <w:tcW w:w="3120" w:type="dxa"/>
          </w:tcPr>
          <w:p w14:paraId="49AF60C9" w14:textId="77777777" w:rsidR="00E56717" w:rsidRDefault="00000000">
            <w:r>
              <w:rPr>
                <w:b/>
              </w:rPr>
              <w:t xml:space="preserve">Form of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p>
        </w:tc>
        <w:tc>
          <w:tcPr>
            <w:tcW w:w="3120" w:type="dxa"/>
          </w:tcPr>
          <w:p w14:paraId="6820E7FE" w14:textId="77777777" w:rsidR="00E56717" w:rsidRDefault="00000000">
            <w:r>
              <w:rPr>
                <w:b/>
              </w:rPr>
              <w:t>Individual well</w:t>
            </w:r>
          </w:p>
        </w:tc>
        <w:tc>
          <w:tcPr>
            <w:tcW w:w="3120" w:type="dxa"/>
          </w:tcPr>
          <w:p w14:paraId="5170E778" w14:textId="77777777" w:rsidR="00E56717" w:rsidRDefault="00000000">
            <w:r>
              <w:rPr>
                <w:b/>
              </w:rPr>
              <w:t xml:space="preserve">Boltzmann weight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e>
                      </m:box>
                    </m:sup>
                  </m:sSup>
                </m:e>
              </m:box>
            </m:oMath>
          </w:p>
        </w:tc>
      </w:tr>
      <w:tr w:rsidR="00E56717" w14:paraId="7C7368B5" w14:textId="77777777">
        <w:tc>
          <w:tcPr>
            <w:tcW w:w="3120" w:type="dxa"/>
          </w:tcPr>
          <w:p w14:paraId="2FC8A0DB" w14:textId="77777777" w:rsidR="00E56717" w:rsidRDefault="00000000">
            <w:r>
              <w:t xml:space="preserve">Quadratic: </w:t>
            </w:r>
            <m:oMath>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box>
            </m:oMath>
          </w:p>
        </w:tc>
        <w:tc>
          <w:tcPr>
            <w:tcW w:w="3120" w:type="dxa"/>
          </w:tcPr>
          <w:p w14:paraId="3ECFCEFF" w14:textId="77777777" w:rsidR="00E56717" w:rsidRDefault="00000000">
            <w:r>
              <w:t>Axis-aligned parabolic bowl</w:t>
            </w:r>
          </w:p>
        </w:tc>
        <w:tc>
          <w:tcPr>
            <w:tcW w:w="3120" w:type="dxa"/>
          </w:tcPr>
          <w:p w14:paraId="4544D385" w14:textId="77777777" w:rsidR="00E56717" w:rsidRDefault="00000000">
            <w:r>
              <w:t>Diagonal Gaussian</w:t>
            </w:r>
          </w:p>
        </w:tc>
      </w:tr>
      <w:tr w:rsidR="00E56717" w14:paraId="2B45AC91" w14:textId="77777777">
        <w:tc>
          <w:tcPr>
            <w:tcW w:w="3120" w:type="dxa"/>
          </w:tcPr>
          <w:p w14:paraId="7284EE53" w14:textId="77777777" w:rsidR="00E56717" w:rsidRDefault="00000000">
            <w:r>
              <w:t xml:space="preserve">Quartic: </w:t>
            </w:r>
            <m:oMath>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4</m:t>
                      </m:r>
                    </m:sup>
                  </m:sSubSup>
                </m:e>
              </m:box>
            </m:oMath>
          </w:p>
        </w:tc>
        <w:tc>
          <w:tcPr>
            <w:tcW w:w="3120" w:type="dxa"/>
          </w:tcPr>
          <w:p w14:paraId="70B7C8AE" w14:textId="77777777" w:rsidR="00E56717" w:rsidRDefault="00000000">
            <w:r>
              <w:t>Flatter floor, steeper walls</w:t>
            </w:r>
          </w:p>
        </w:tc>
        <w:tc>
          <w:tcPr>
            <w:tcW w:w="3120" w:type="dxa"/>
          </w:tcPr>
          <w:p w14:paraId="559AB604" w14:textId="77777777" w:rsidR="00E56717" w:rsidRDefault="00000000">
            <w:r>
              <w:t>Lighter tails than a Gaussian (the weight decays as a quartic exponential)</w:t>
            </w:r>
          </w:p>
        </w:tc>
      </w:tr>
      <w:tr w:rsidR="00E56717" w14:paraId="3527543E" w14:textId="77777777">
        <w:tc>
          <w:tcPr>
            <w:tcW w:w="3120" w:type="dxa"/>
          </w:tcPr>
          <w:p w14:paraId="2AFA0CD8" w14:textId="77777777" w:rsidR="00E56717" w:rsidRDefault="00000000">
            <w:r>
              <w:t xml:space="preserve">Absolute: </w:t>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box>
            </m:oMath>
          </w:p>
        </w:tc>
        <w:tc>
          <w:tcPr>
            <w:tcW w:w="3120" w:type="dxa"/>
          </w:tcPr>
          <w:p w14:paraId="55CB8FF6" w14:textId="77777777" w:rsidR="00E56717" w:rsidRDefault="00000000">
            <w:r>
              <w:t>Cone (V-shaped)</w:t>
            </w:r>
          </w:p>
        </w:tc>
        <w:tc>
          <w:tcPr>
            <w:tcW w:w="3120" w:type="dxa"/>
          </w:tcPr>
          <w:p w14:paraId="7D5EB3DE" w14:textId="77777777" w:rsidR="00E56717" w:rsidRDefault="00000000">
            <w:r>
              <w:t>Laplacian</w:t>
            </w:r>
          </w:p>
        </w:tc>
      </w:tr>
      <w:tr w:rsidR="00E56717" w14:paraId="16D87B35" w14:textId="77777777">
        <w:tc>
          <w:tcPr>
            <w:tcW w:w="3120" w:type="dxa"/>
          </w:tcPr>
          <w:p w14:paraId="40D7AD75" w14:textId="77777777" w:rsidR="00E56717" w:rsidRDefault="00000000">
            <w:r>
              <w:t xml:space="preserve">Bounded bump: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(1-</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e>
                      </m:box>
                    </m:sup>
                  </m:sSup>
                  <m:r>
                    <m:rPr>
                      <m:sty m:val="p"/>
                    </m:rPr>
                    <w:rPr>
                      <w:rFonts w:ascii="Cambria Math" w:hAnsi="Cambria Math"/>
                    </w:rPr>
                    <m:t>)</m:t>
                  </m:r>
                </m:e>
              </m:box>
            </m:oMath>
          </w:p>
        </w:tc>
        <w:tc>
          <w:tcPr>
            <w:tcW w:w="3120" w:type="dxa"/>
          </w:tcPr>
          <w:p w14:paraId="2D2640AA" w14:textId="77777777" w:rsidR="00E56717" w:rsidRDefault="00000000">
            <w:r>
              <w:t>Saturating well of finite depth</w:t>
            </w:r>
          </w:p>
        </w:tc>
        <w:tc>
          <w:tcPr>
            <w:tcW w:w="3120" w:type="dxa"/>
          </w:tcPr>
          <w:p w14:paraId="2F8B8776" w14:textId="77777777" w:rsidR="00E56717" w:rsidRDefault="00000000">
            <w:r>
              <w:t>No standard named family</w:t>
            </w:r>
          </w:p>
        </w:tc>
      </w:tr>
      <w:tr w:rsidR="00E56717" w14:paraId="3C3F9ECE" w14:textId="77777777">
        <w:tc>
          <w:tcPr>
            <w:tcW w:w="3120" w:type="dxa"/>
          </w:tcPr>
          <w:p w14:paraId="09FB62B8" w14:textId="77777777" w:rsidR="00E56717" w:rsidRDefault="00000000">
            <w:r>
              <w:t xml:space="preserve">Unconstrained: </w:t>
            </w:r>
            <m:oMath>
              <m:box>
                <m:boxPr>
                  <m:ctrlPr>
                    <w:rPr>
                      <w:rFonts w:ascii="Cambria Math" w:hAnsi="Cambria Math"/>
                    </w:rPr>
                  </m:ctrlPr>
                </m:boxPr>
                <m:e>
                  <m:r>
                    <m:rPr>
                      <m:nor/>
                    </m:rPr>
                    <w:rPr>
                      <w:rFonts w:ascii="Cambria Math" w:hAnsi="Cambria Math"/>
                    </w:rPr>
                    <m:t>MLP</m:t>
                  </m:r>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p>
        </w:tc>
        <w:tc>
          <w:tcPr>
            <w:tcW w:w="3120" w:type="dxa"/>
          </w:tcPr>
          <w:p w14:paraId="0C06E4BE" w14:textId="77777777" w:rsidR="00E56717" w:rsidRDefault="00000000">
            <w:r>
              <w:t>Arbitrary learned surface</w:t>
            </w:r>
          </w:p>
        </w:tc>
        <w:tc>
          <w:tcPr>
            <w:tcW w:w="3120" w:type="dxa"/>
          </w:tcPr>
          <w:p w14:paraId="7F8213D4" w14:textId="77777777" w:rsidR="00E56717" w:rsidRDefault="00000000">
            <w:r>
              <w:t>Arbitrary</w:t>
            </w:r>
          </w:p>
        </w:tc>
      </w:tr>
    </w:tbl>
    <w:p w14:paraId="1A19B5C3" w14:textId="77777777" w:rsidR="006D3718" w:rsidRDefault="006D3718"/>
    <w:p w14:paraId="6FBC292A" w14:textId="165D7337" w:rsidR="00E56717" w:rsidRDefault="00000000">
      <w:r>
        <w:t xml:space="preserve">Quadratic wells occupy most of the discussion because, at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they are exactly a Gaussian mixture, which is the semantic-attractor picture of the paper. The log-sum-exp and the three temperature regimes remain valid for every row of the table. A construction that kept this mixing rule and only changed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to a saturating bump would still be a log-sum-exp potential, now with bounded wells. That is </w:t>
      </w:r>
      <w:r>
        <w:rPr>
          <w:b/>
        </w:rPr>
        <w:t>not</w:t>
      </w:r>
      <w:r>
        <w:t xml:space="preserve"> what the production Fock-PARFLM code implements. The production module </w:t>
      </w:r>
      <w:r>
        <w:rPr>
          <w:rFonts w:ascii="Consolas" w:hAnsi="Consolas"/>
        </w:rPr>
        <w:t>MixtureGaussianVTheta</w:t>
      </w:r>
      <w:r>
        <w:t xml:space="preserve"> is closer in spirit to the saturating row, but it sums the bumps with a minus sign rather than taking </w:t>
      </w:r>
      <m:oMath>
        <m:box>
          <m:boxPr>
            <m:ctrlPr>
              <w:rPr>
                <w:rFonts w:ascii="Cambria Math" w:hAnsi="Cambria Math"/>
              </w:rPr>
            </m:ctrlPr>
          </m:boxPr>
          <m:e>
            <m:r>
              <m:rPr>
                <m:sty m:val="p"/>
              </m:rPr>
              <w:rPr>
                <w:rFonts w:ascii="Cambria Math" w:hAnsi="Cambria Math"/>
              </w:rPr>
              <m:t>-</m:t>
            </m:r>
            <m:r>
              <w:rPr>
                <w:rFonts w:ascii="Cambria Math" w:hAnsi="Cambria Math"/>
              </w:rPr>
              <m:t>τ</m:t>
            </m:r>
            <m:r>
              <m:rPr>
                <m:sty m:val="p"/>
              </m:rPr>
              <w:rPr>
                <w:rFonts w:ascii="Cambria Math" w:hAnsi="Cambria Math"/>
              </w:rPr>
              <m:t>log</m:t>
            </m:r>
          </m:e>
        </m:box>
      </m:oMath>
      <w:r>
        <w:t xml:space="preserve"> of a mixture of Boltzmann weights. The reason, taken up in the Gaussian Wells subsection, is that a log-sum-exp of even bounded wells still produces an unbounded force through the outer logarithm.</w:t>
      </w:r>
    </w:p>
    <w:p w14:paraId="2084126B" w14:textId="77777777" w:rsidR="00C20D32" w:rsidRDefault="00C20D32"/>
    <w:p w14:paraId="05C3448D" w14:textId="77777777" w:rsidR="008A7142" w:rsidRDefault="008A7142" w:rsidP="00300BB2">
      <w:pPr>
        <w:pStyle w:val="Heading1"/>
      </w:pPr>
      <w:bookmarkStart w:id="9" w:name="_Toc240119371"/>
      <w:r>
        <w:t>Quadratic and Gaussian Potential Wells</w:t>
      </w:r>
      <w:bookmarkEnd w:id="9"/>
    </w:p>
    <w:p w14:paraId="2F29991C" w14:textId="77777777" w:rsidR="00C20D32" w:rsidRPr="00300BB2" w:rsidRDefault="00C20D32" w:rsidP="00300BB2"/>
    <w:p w14:paraId="69E39060" w14:textId="77777777" w:rsidR="008A7142" w:rsidRPr="00300BB2" w:rsidRDefault="00300BB2" w:rsidP="00300BB2">
      <w:pPr>
        <w:rPr>
          <w:u w:val="single"/>
        </w:rPr>
      </w:pPr>
      <w:r w:rsidRPr="00300BB2">
        <w:rPr>
          <w:u w:val="single"/>
        </w:rPr>
        <w:t>Difference between Quadratic and Gaussian Potential Wells</w:t>
      </w:r>
    </w:p>
    <w:p w14:paraId="5A269E79" w14:textId="77777777" w:rsidR="00300BB2" w:rsidRDefault="00300BB2">
      <w:r>
        <w:lastRenderedPageBreak/>
        <w:t>Quadratic and Gaussian potential wells are closely related concepts.</w:t>
      </w:r>
    </w:p>
    <w:p w14:paraId="169A5B81" w14:textId="77777777" w:rsidR="008A7142" w:rsidRDefault="008A7142"/>
    <w:p w14:paraId="3AB52BA5" w14:textId="77777777" w:rsidR="00C93BBD" w:rsidRDefault="00000000">
      <w:r>
        <w:t xml:space="preserve">The relationship between them is asymptotic rather than nominal. Expanding a bounded Gaussian well </w:t>
      </w:r>
      <m:oMath>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κ</m:t>
                </m:r>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e>
                  <m:sup>
                    <m:r>
                      <w:rPr>
                        <w:rFonts w:ascii="Cambria Math" w:hAnsi="Cambria Math"/>
                      </w:rPr>
                      <m:t>2</m:t>
                    </m:r>
                  </m:sup>
                </m:sSup>
              </m:sup>
            </m:sSup>
          </m:e>
        </m:d>
      </m:oMath>
      <w:r>
        <w:t xml:space="preserve"> about its centre gives </w:t>
      </w:r>
      <m:oMath>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Aκ</m:t>
        </m:r>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e>
          <m:sup>
            <m:r>
              <w:rPr>
                <w:rFonts w:ascii="Cambria Math" w:hAnsi="Cambria Math"/>
              </w:rPr>
              <m:t>2</m:t>
            </m:r>
          </m:sup>
        </m:sSup>
        <m:r>
          <m:rPr>
            <m:sty m:val="p"/>
          </m:rPr>
          <w:rPr>
            <w:rFonts w:ascii="Cambria Math" w:hAnsi="Cambria Math"/>
          </w:rPr>
          <m:t>+</m:t>
        </m:r>
        <m:r>
          <w:rPr>
            <w:rFonts w:ascii="Cambria Math" w:hAnsi="Cambria Math"/>
          </w:rPr>
          <m:t>O</m:t>
        </m:r>
        <m:d>
          <m:dPr>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e>
              <m:sup>
                <m:r>
                  <w:rPr>
                    <w:rFonts w:ascii="Cambria Math" w:hAnsi="Cambria Math"/>
                  </w:rPr>
                  <m:t>4</m:t>
                </m:r>
              </m:sup>
            </m:sSup>
          </m:e>
        </m:d>
      </m:oMath>
      <w:r>
        <w:t xml:space="preserve">, so near the bottom of the well the Gaussian </w:t>
      </w:r>
      <w:r>
        <w:rPr>
          <w:b/>
          <w:bCs/>
        </w:rPr>
        <w:t>is</w:t>
      </w:r>
      <w:r>
        <w:t xml:space="preserve"> a quadratic well, with precision </w:t>
      </w:r>
      <m:oMath>
        <m:r>
          <w:rPr>
            <w:rFonts w:ascii="Cambria Math" w:hAnsi="Cambria Math"/>
          </w:rPr>
          <m:t>2Aκ</m:t>
        </m:r>
      </m:oMath>
      <w:r>
        <w:t xml:space="preserve"> and the same linear restoring force. The two forms are indistinguishable to any particle that stays near its attractor, which is the regime the dynamics spends most of its time in.</w:t>
      </w:r>
    </w:p>
    <w:p w14:paraId="5358333B" w14:textId="77777777" w:rsidR="00C93BBD" w:rsidRDefault="00000000">
      <w:r>
        <w:t xml:space="preserve">They part company far from the centre. The quadratic well is unbounded, </w:t>
      </w:r>
      <m:oMath>
        <m:r>
          <w:rPr>
            <w:rFonts w:ascii="Cambria Math" w:hAnsi="Cambria Math"/>
          </w:rPr>
          <m:t>E</m:t>
        </m:r>
        <m:r>
          <m:rPr>
            <m:sty m:val="p"/>
          </m:rPr>
          <w:rPr>
            <w:rFonts w:ascii="Cambria Math" w:hAnsi="Cambria Math"/>
          </w:rPr>
          <m:t>→∞</m:t>
        </m:r>
      </m:oMath>
      <w:r>
        <w:t xml:space="preserve"> as </w:t>
      </w:r>
      <m:oMath>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r>
          <m:rPr>
            <m:sty m:val="p"/>
          </m:rPr>
          <w:rPr>
            <w:rFonts w:ascii="Cambria Math" w:hAnsi="Cambria Math"/>
          </w:rPr>
          <m:t>→∞</m:t>
        </m:r>
      </m:oMath>
      <w:r>
        <w:t xml:space="preserve">, with a restoring force that grows linearly without limit; the Gaussian well saturates at the finite depth </w:t>
      </w:r>
      <m:oMath>
        <m:r>
          <w:rPr>
            <w:rFonts w:ascii="Cambria Math" w:hAnsi="Cambria Math"/>
          </w:rPr>
          <m:t>A</m:t>
        </m:r>
      </m:oMath>
      <w:r>
        <w:t xml:space="preserve">, and its force decays back to zero, bounded by </w:t>
      </w:r>
      <m:oMath>
        <m:d>
          <m:dPr>
            <m:begChr m:val="‖"/>
            <m:endChr m:val="‖"/>
            <m:ctrlPr>
              <w:rPr>
                <w:rFonts w:ascii="Cambria Math" w:hAnsi="Cambria Math"/>
              </w:rPr>
            </m:ctrlPr>
          </m:dPr>
          <m:e>
            <m:r>
              <w:rPr>
                <w:rFonts w:ascii="Cambria Math" w:hAnsi="Cambria Math"/>
              </w:rPr>
              <m:t>F</m:t>
            </m:r>
          </m:e>
        </m:d>
        <m:r>
          <m:rPr>
            <m:sty m:val="p"/>
          </m:rPr>
          <w:rPr>
            <w:rFonts w:ascii="Cambria Math" w:hAnsi="Cambria Math"/>
          </w:rPr>
          <m:t>≤</m:t>
        </m:r>
        <m:r>
          <w:rPr>
            <w:rFonts w:ascii="Cambria Math" w:hAnsi="Cambria Math"/>
          </w:rPr>
          <m:t>2Aκ</m:t>
        </m:r>
        <m:r>
          <m:rPr>
            <m:sty m:val="p"/>
          </m:rPr>
          <w:rPr>
            <w:rFonts w:ascii="Cambria Math" w:hAnsi="Cambria Math"/>
          </w:rPr>
          <m:t>/</m:t>
        </m:r>
        <m:r>
          <w:rPr>
            <w:rFonts w:ascii="Cambria Math" w:hAnsi="Cambria Math"/>
          </w:rPr>
          <m:t>e</m:t>
        </m:r>
      </m:oMath>
      <w:r>
        <w:t>. That single difference is the entire engineering trade-off between them. An unbounded well guarantees a particle can never escape, at the cost of a force that can grow without bound and destabilise a numerical integrator; a bounded well guarantees a bounded force — and therefore Lipschitz-regular dynamics compatible with the closed-form integrators developed later — at the cost of allowing a particle with sufficient kinetic energy to escape the basin entirely.</w:t>
      </w:r>
    </w:p>
    <w:p w14:paraId="79B2338D" w14:textId="77777777" w:rsidR="002F2BCA" w:rsidRDefault="002F2BCA"/>
    <w:p w14:paraId="44708F40" w14:textId="77777777" w:rsidR="002F2BCA" w:rsidRDefault="002F2BCA" w:rsidP="002F2BCA">
      <w:pPr>
        <w:pStyle w:val="Heading2"/>
      </w:pPr>
      <w:bookmarkStart w:id="10" w:name="_Toc240119372"/>
      <w:r>
        <w:t>Quadratic Wells</w:t>
      </w:r>
      <w:bookmarkEnd w:id="10"/>
    </w:p>
    <w:p w14:paraId="2D345ACD" w14:textId="77777777" w:rsidR="002F2BCA" w:rsidRDefault="002F2BCA"/>
    <w:p w14:paraId="4C8C2810" w14:textId="77777777" w:rsidR="00AB1C88" w:rsidRDefault="00AB1C88">
      <w:r>
        <w:t xml:space="preserve">Let us consider a scalar potential </w:t>
      </w:r>
      <w:r w:rsidR="00C21E2A">
        <w:t xml:space="preserve">well </w:t>
      </w:r>
      <w:r>
        <w:t>of the form:</w:t>
      </w:r>
    </w:p>
    <w:p w14:paraId="37E9D37E" w14:textId="77777777" w:rsidR="00AB1C88" w:rsidRDefault="00AB1C88"/>
    <w:p w14:paraId="20634EE9" w14:textId="77777777" w:rsidR="008A7142" w:rsidRDefault="00AB1C88">
      <w:r>
        <w:t xml:space="preserve"> </w:t>
      </w:r>
      <m:oMath>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sup>
            <m:r>
              <w:rPr>
                <w:rFonts w:ascii="Cambria Math" w:hAnsi="Cambria Math"/>
              </w:rPr>
              <m:t>2</m:t>
            </m:r>
          </m:sup>
        </m:sSup>
      </m:oMath>
    </w:p>
    <w:p w14:paraId="1CD6F4B9" w14:textId="77777777" w:rsidR="00A02B48" w:rsidRDefault="008B7133">
      <w:r>
        <w:t xml:space="preserve">Here the subscript </w:t>
      </w:r>
      <m:oMath>
        <m:r>
          <w:rPr>
            <w:rFonts w:ascii="Cambria Math" w:hAnsi="Cambria Math"/>
          </w:rPr>
          <m:t>k</m:t>
        </m:r>
      </m:oMath>
      <w:r>
        <w:t xml:space="preserve"> denotes the </w:t>
      </w:r>
      <m:oMath>
        <m:r>
          <w:rPr>
            <w:rFonts w:ascii="Cambria Math" w:hAnsi="Cambria Math"/>
          </w:rPr>
          <m:t>k</m:t>
        </m:r>
      </m:oMath>
      <w:r>
        <w:t>-th well on the semantic energy landscape</w:t>
      </w:r>
      <w:r w:rsidR="0073321C">
        <w:t xml:space="preserve">. Note that this is a quadratic function of </w:t>
      </w:r>
      <m:oMath>
        <m:r>
          <w:rPr>
            <w:rFonts w:ascii="Cambria Math" w:hAnsi="Cambria Math"/>
          </w:rPr>
          <m:t>h</m:t>
        </m:r>
      </m:oMath>
      <w:r w:rsidR="0073321C">
        <w:t xml:space="preserve">. </w:t>
      </w:r>
    </w:p>
    <w:p w14:paraId="7D7719E5" w14:textId="77777777" w:rsidR="00455F66" w:rsidRDefault="00000000">
      <w:pPr>
        <w:spacing w:after="120"/>
      </w:pPr>
      <w:r>
        <w:rPr>
          <w:rFonts w:ascii="Calibri" w:hAnsi="Calibri"/>
        </w:rPr>
        <w:t>This is a conceptual point worth unpacking carefully. The short answer is that “quadratic well” and “Gaussian well” are two names for the same object, seen from two different perspectives.</w:t>
      </w:r>
    </w:p>
    <w:p w14:paraId="5D296B56" w14:textId="77777777" w:rsidR="00455F66" w:rsidRPr="00C20D32" w:rsidRDefault="00000000" w:rsidP="00C20D32">
      <w:pPr>
        <w:pStyle w:val="Heading3"/>
      </w:pPr>
      <w:bookmarkStart w:id="11" w:name="_Toc240119373"/>
      <w:r w:rsidRPr="00C20D32">
        <w:t>The equivalence</w:t>
      </w:r>
      <w:bookmarkEnd w:id="11"/>
    </w:p>
    <w:p w14:paraId="1907B9E8" w14:textId="77777777" w:rsidR="00455F66" w:rsidRDefault="00000000">
      <w:pPr>
        <w:spacing w:after="120"/>
      </w:pPr>
      <w:r>
        <w:rPr>
          <w:rFonts w:ascii="Calibri" w:hAnsi="Calibri"/>
        </w:rPr>
        <w:t>Consider a single SQ1 component:</w:t>
      </w:r>
    </w:p>
    <w:p w14:paraId="5873AFD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692D3AD8" w14:textId="77777777" w:rsidR="00455F66" w:rsidRDefault="00000000">
      <w:pPr>
        <w:spacing w:after="120"/>
      </w:pPr>
      <w:r>
        <w:rPr>
          <w:rFonts w:ascii="Calibri" w:hAnsi="Calibri"/>
        </w:rPr>
        <w:t xml:space="preserve">This is a quadratic function of </w:t>
      </w:r>
      <m:oMath>
        <m:box>
          <m:boxPr>
            <m:ctrlPr>
              <w:rPr>
                <w:rFonts w:ascii="Cambria Math" w:hAnsi="Cambria Math"/>
              </w:rPr>
            </m:ctrlPr>
          </m:boxPr>
          <m:e>
            <m:r>
              <w:rPr>
                <w:rFonts w:ascii="Cambria Math" w:hAnsi="Cambria Math"/>
              </w:rPr>
              <m:t>h</m:t>
            </m:r>
          </m:e>
        </m:box>
      </m:oMath>
      <w:r>
        <w:rPr>
          <w:rFonts w:ascii="Calibri" w:hAnsi="Calibri"/>
        </w:rPr>
        <w:t xml:space="preserve"> — a parabola in each coordinate. Now consider the corresponding Boltzmann weight:</w:t>
      </w:r>
    </w:p>
    <w:p w14:paraId="073760B7"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728603B3" w14:textId="77777777" w:rsidR="00455F66" w:rsidRDefault="00000000">
      <w:pPr>
        <w:spacing w:after="120"/>
      </w:pPr>
      <w:r>
        <w:rPr>
          <w:rFonts w:ascii="Calibri" w:hAnsi="Calibri"/>
        </w:rPr>
        <w:t xml:space="preserve">That exponential of a negative quadratic is exactly a (diagonal)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So:</w:t>
      </w:r>
    </w:p>
    <w:p w14:paraId="1A48E536" w14:textId="77777777" w:rsidR="00455F66" w:rsidRDefault="00000000">
      <w:pPr>
        <w:spacing w:after="120"/>
      </w:pPr>
      <w:r>
        <w:rPr>
          <w:rFonts w:ascii="Calibri" w:hAnsi="Calibri"/>
        </w:rPr>
        <w:t>• From the dynamics side: the potential is a quadratic well (parabolic energy surface).</w:t>
      </w:r>
    </w:p>
    <w:p w14:paraId="798E13C4" w14:textId="77777777" w:rsidR="00455F66" w:rsidRDefault="00000000">
      <w:pPr>
        <w:spacing w:after="120"/>
      </w:pPr>
      <w:r>
        <w:rPr>
          <w:rFonts w:ascii="Calibri" w:hAnsi="Calibri"/>
        </w:rPr>
        <w:t>• From the probabilistic side: the same object is a Gaussian well (the stationary distribution of the damped flow is Gaussian).</w:t>
      </w:r>
    </w:p>
    <w:p w14:paraId="5A994D86" w14:textId="77777777" w:rsidR="00455F66" w:rsidRDefault="00000000">
      <w:pPr>
        <w:spacing w:after="120"/>
      </w:pPr>
      <w:r>
        <w:rPr>
          <w:rFonts w:ascii="Calibri" w:hAnsi="Calibri"/>
        </w:rPr>
        <w:t>The two phrases describe the same mathematical shape — one in energy language, one in probability language.</w:t>
      </w:r>
    </w:p>
    <w:p w14:paraId="463FE951" w14:textId="77777777" w:rsidR="00455F66" w:rsidRDefault="00000000">
      <w:pPr>
        <w:pStyle w:val="Heading3"/>
        <w:spacing w:after="120"/>
      </w:pPr>
      <w:bookmarkStart w:id="12" w:name="_Toc240119374"/>
      <w:r>
        <w:rPr>
          <w:rFonts w:ascii="Calibri" w:hAnsi="Calibri"/>
          <w:sz w:val="19"/>
        </w:rPr>
        <w:t>Why SQ3 recovers the Gaussian mixture</w:t>
      </w:r>
      <w:bookmarkEnd w:id="12"/>
    </w:p>
    <w:p w14:paraId="1CE6A7E3" w14:textId="77777777" w:rsidR="00455F66" w:rsidRDefault="00000000">
      <w:pPr>
        <w:spacing w:after="120"/>
      </w:pPr>
      <w:r>
        <w:rPr>
          <w:rFonts w:ascii="Calibri" w:hAnsi="Calibri"/>
        </w:rPr>
        <w:t xml:space="preserve">At temperature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the SQ3 potential is:</w:t>
      </w:r>
    </w:p>
    <w:p w14:paraId="57C372AD"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00132E12" w14:textId="77777777" w:rsidR="00455F66" w:rsidRDefault="00000000">
      <w:pPr>
        <w:spacing w:after="120"/>
      </w:pPr>
      <w:r>
        <w:rPr>
          <w:rFonts w:ascii="Calibri" w:hAnsi="Calibri"/>
        </w:rPr>
        <w:t>Rearranging:</w:t>
      </w:r>
    </w:p>
    <w:p w14:paraId="7ADB0622"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3F873CE4" w14:textId="77777777" w:rsidR="00455F66" w:rsidRDefault="00000000">
      <w:pPr>
        <w:spacing w:after="120"/>
        <w:rPr>
          <w:rFonts w:ascii="Calibri" w:hAnsi="Calibri"/>
        </w:rPr>
      </w:pPr>
      <w:r>
        <w:rPr>
          <w:rFonts w:ascii="Calibri" w:hAnsi="Calibri"/>
        </w:rPr>
        <w:t xml:space="preserve">So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e>
        </m:box>
      </m:oMath>
      <w:r>
        <w:rPr>
          <w:rFonts w:ascii="Calibri" w:hAnsi="Calibri"/>
        </w:rPr>
        <w:t xml:space="preserve"> is proportional to the density of a Gaussian mixture model. Equivalently,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up to a constant, which is the negative log-likelihood of that GMM.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are the modes of the mixture — the Gaussian well centres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w:t>
      </w:r>
    </w:p>
    <w:p w14:paraId="4237C5BA" w14:textId="77777777" w:rsidR="008A10A1" w:rsidRDefault="008A10A1">
      <w:pPr>
        <w:spacing w:after="120"/>
        <w:rPr>
          <w:rFonts w:ascii="Calibri" w:hAnsi="Calibri"/>
        </w:rPr>
      </w:pPr>
    </w:p>
    <w:p w14:paraId="70A954AC" w14:textId="77777777" w:rsidR="008A10A1" w:rsidRDefault="002F2BCA" w:rsidP="002F2BCA">
      <w:pPr>
        <w:pStyle w:val="Heading3"/>
      </w:pPr>
      <w:bookmarkStart w:id="13" w:name="_Toc240119375"/>
      <w:r>
        <w:t xml:space="preserve">The parameter </w:t>
      </w:r>
      <w:r>
        <w:rPr>
          <w:sz w:val="19"/>
        </w:rPr>
        <w:t>τ</w:t>
      </w:r>
      <w:r w:rsidR="00C20D32">
        <w:rPr>
          <w:sz w:val="19"/>
        </w:rPr>
        <w:t xml:space="preserve"> (temperature)</w:t>
      </w:r>
      <w:r>
        <w:t xml:space="preserve"> in the quadratic well design</w:t>
      </w:r>
      <w:bookmarkEnd w:id="13"/>
    </w:p>
    <w:p w14:paraId="2B223E1A" w14:textId="77777777" w:rsidR="008A10A1" w:rsidRDefault="008A10A1">
      <w:pPr>
        <w:spacing w:after="120"/>
      </w:pPr>
    </w:p>
    <w:p w14:paraId="5BB52969" w14:textId="77777777" w:rsidR="00455F66" w:rsidRDefault="00000000">
      <w:pPr>
        <w:pStyle w:val="Heading3"/>
        <w:spacing w:after="120"/>
      </w:pPr>
      <w:bookmarkStart w:id="14" w:name="_Toc240119376"/>
      <w:r>
        <w:rPr>
          <w:rFonts w:ascii="Calibri" w:hAnsi="Calibri"/>
          <w:sz w:val="19"/>
        </w:rPr>
        <w:t>What τ controls</w:t>
      </w:r>
      <w:bookmarkEnd w:id="14"/>
    </w:p>
    <w:tbl>
      <w:tblPr>
        <w:tblStyle w:val="TableGrid"/>
        <w:tblW w:w="0" w:type="auto"/>
        <w:tblLook w:val="04A0" w:firstRow="1" w:lastRow="0" w:firstColumn="1" w:lastColumn="0" w:noHBand="0" w:noVBand="1"/>
      </w:tblPr>
      <w:tblGrid>
        <w:gridCol w:w="1435"/>
        <w:gridCol w:w="7915"/>
      </w:tblGrid>
      <w:tr w:rsidR="00455F66" w14:paraId="7B1F1298" w14:textId="77777777" w:rsidTr="00EE172C">
        <w:tc>
          <w:tcPr>
            <w:tcW w:w="1435" w:type="dxa"/>
          </w:tcPr>
          <w:p w14:paraId="5002834D" w14:textId="77777777" w:rsidR="00455F66" w:rsidRPr="00210ABE" w:rsidRDefault="00210ABE">
            <w:pPr>
              <w:rPr>
                <w:b/>
                <w:bCs/>
              </w:rPr>
            </w:pPr>
            <m:oMath>
              <m:r>
                <m:rPr>
                  <m:sty m:val="bi"/>
                </m:rPr>
                <w:rPr>
                  <w:rFonts w:ascii="Cambria Math" w:hAnsi="Cambria Math"/>
                </w:rPr>
                <m:t>τ</m:t>
              </m:r>
            </m:oMath>
            <w:r w:rsidRPr="00210ABE">
              <w:rPr>
                <w:rFonts w:eastAsiaTheme="minorEastAsia"/>
                <w:b/>
                <w:bCs/>
              </w:rPr>
              <w:t xml:space="preserve"> </w:t>
            </w:r>
          </w:p>
        </w:tc>
        <w:tc>
          <w:tcPr>
            <w:tcW w:w="7915" w:type="dxa"/>
          </w:tcPr>
          <w:p w14:paraId="0B73F8DE" w14:textId="77777777" w:rsidR="00455F66" w:rsidRDefault="00000000">
            <w:r>
              <w:rPr>
                <w:rFonts w:ascii="Calibri" w:hAnsi="Calibri"/>
                <w:b/>
                <w:sz w:val="17"/>
              </w:rPr>
              <w:t xml:space="preserve">Behaviour of </w:t>
            </w:r>
            <m:oMath>
              <m:sSub>
                <m:sSubPr>
                  <m:ctrlPr>
                    <w:rPr>
                      <w:rFonts w:ascii="Cambria Math" w:hAnsi="Cambria Math"/>
                      <w:b/>
                      <w:i/>
                      <w:sz w:val="17"/>
                    </w:rPr>
                  </m:ctrlPr>
                </m:sSubPr>
                <m:e>
                  <m:r>
                    <m:rPr>
                      <m:sty m:val="bi"/>
                    </m:rPr>
                    <w:rPr>
                      <w:rFonts w:ascii="Cambria Math" w:hAnsi="Cambria Math"/>
                      <w:sz w:val="17"/>
                    </w:rPr>
                    <m:t>V</m:t>
                  </m:r>
                </m:e>
                <m:sub>
                  <m:r>
                    <m:rPr>
                      <m:sty m:val="bi"/>
                    </m:rPr>
                    <w:rPr>
                      <w:rFonts w:ascii="Cambria Math" w:hAnsi="Cambria Math"/>
                      <w:sz w:val="17"/>
                    </w:rPr>
                    <m:t>θ</m:t>
                  </m:r>
                </m:sub>
              </m:sSub>
            </m:oMath>
          </w:p>
        </w:tc>
      </w:tr>
      <w:tr w:rsidR="00455F66" w14:paraId="399AC2DD" w14:textId="77777777" w:rsidTr="00EE172C">
        <w:tc>
          <w:tcPr>
            <w:tcW w:w="1435" w:type="dxa"/>
          </w:tcPr>
          <w:p w14:paraId="72194907" w14:textId="77777777" w:rsidR="00455F66" w:rsidRDefault="0060012E">
            <m:oMath>
              <m:r>
                <w:rPr>
                  <w:rFonts w:ascii="Cambria Math" w:hAnsi="Cambria Math"/>
                  <w:sz w:val="17"/>
                </w:rPr>
                <m:t>τ→0</m:t>
              </m:r>
            </m:oMath>
            <w:r>
              <w:rPr>
                <w:rFonts w:eastAsiaTheme="minorEastAsia"/>
                <w:sz w:val="17"/>
              </w:rPr>
              <w:t xml:space="preserve"> </w:t>
            </w:r>
          </w:p>
        </w:tc>
        <w:tc>
          <w:tcPr>
            <w:tcW w:w="7915" w:type="dxa"/>
          </w:tcPr>
          <w:p w14:paraId="4F137C77" w14:textId="77777777" w:rsidR="00455F66" w:rsidRDefault="00000000">
            <m:oMath>
              <m:sSub>
                <m:sSubPr>
                  <m:ctrlPr>
                    <w:rPr>
                      <w:rFonts w:ascii="Cambria Math" w:hAnsi="Cambria Math"/>
                      <w:i/>
                      <w:sz w:val="17"/>
                    </w:rPr>
                  </m:ctrlPr>
                </m:sSubPr>
                <m:e>
                  <m:r>
                    <w:rPr>
                      <w:rFonts w:ascii="Cambria Math" w:hAnsi="Cambria Math"/>
                      <w:sz w:val="17"/>
                    </w:rPr>
                    <m:t>V</m:t>
                  </m:r>
                </m:e>
                <m:sub>
                  <m:r>
                    <w:rPr>
                      <w:rFonts w:ascii="Cambria Math" w:hAnsi="Cambria Math"/>
                      <w:sz w:val="17"/>
                    </w:rPr>
                    <m:t>θ</m:t>
                  </m:r>
                </m:sub>
              </m:sSub>
              <m:r>
                <w:rPr>
                  <w:rFonts w:ascii="Cambria Math" w:hAnsi="Cambria Math"/>
                  <w:sz w:val="17"/>
                </w:rPr>
                <m:t xml:space="preserve"> → </m:t>
              </m:r>
              <m:func>
                <m:funcPr>
                  <m:ctrlPr>
                    <w:rPr>
                      <w:rFonts w:ascii="Cambria Math" w:hAnsi="Cambria Math"/>
                      <w:i/>
                      <w:sz w:val="17"/>
                    </w:rPr>
                  </m:ctrlPr>
                </m:funcPr>
                <m:fName>
                  <m:limLow>
                    <m:limLowPr>
                      <m:ctrlPr>
                        <w:rPr>
                          <w:rFonts w:ascii="Cambria Math" w:hAnsi="Cambria Math"/>
                          <w:i/>
                          <w:sz w:val="17"/>
                        </w:rPr>
                      </m:ctrlPr>
                    </m:limLowPr>
                    <m:e>
                      <m:r>
                        <m:rPr>
                          <m:sty m:val="p"/>
                        </m:rPr>
                        <w:rPr>
                          <w:rFonts w:ascii="Cambria Math" w:hAnsi="Cambria Math"/>
                          <w:sz w:val="17"/>
                        </w:rPr>
                        <m:t>min</m:t>
                      </m:r>
                    </m:e>
                    <m:lim>
                      <m:r>
                        <w:rPr>
                          <w:rFonts w:ascii="Cambria Math" w:hAnsi="Cambria Math"/>
                          <w:sz w:val="17"/>
                        </w:rPr>
                        <m:t>k</m:t>
                      </m:r>
                    </m:lim>
                  </m:limLow>
                </m:fName>
                <m:e>
                  <m:sSub>
                    <m:sSubPr>
                      <m:ctrlPr>
                        <w:rPr>
                          <w:rFonts w:ascii="Cambria Math" w:hAnsi="Cambria Math"/>
                          <w:i/>
                          <w:sz w:val="17"/>
                        </w:rPr>
                      </m:ctrlPr>
                    </m:sSubPr>
                    <m:e>
                      <m:r>
                        <w:rPr>
                          <w:rFonts w:ascii="Cambria Math" w:hAnsi="Cambria Math"/>
                          <w:sz w:val="17"/>
                        </w:rPr>
                        <m:t>E</m:t>
                      </m:r>
                    </m:e>
                    <m:sub>
                      <m:r>
                        <w:rPr>
                          <w:rFonts w:ascii="Cambria Math" w:hAnsi="Cambria Math"/>
                          <w:sz w:val="17"/>
                        </w:rPr>
                        <m:t>k</m:t>
                      </m:r>
                    </m:sub>
                  </m:sSub>
                </m:e>
              </m:func>
              <m:r>
                <w:rPr>
                  <w:rFonts w:ascii="Cambria Math" w:hAnsi="Cambria Math"/>
                  <w:sz w:val="17"/>
                </w:rPr>
                <m:t xml:space="preserve"> </m:t>
              </m:r>
            </m:oMath>
            <w:r w:rsidR="0060012E">
              <w:rPr>
                <w:rFonts w:ascii="Calibri" w:hAnsi="Calibri"/>
                <w:sz w:val="17"/>
              </w:rPr>
              <w:t xml:space="preserve"> — hard assignment to deepest basin; sharp, non-smooth</w:t>
            </w:r>
          </w:p>
        </w:tc>
      </w:tr>
      <w:tr w:rsidR="00455F66" w14:paraId="372F880B" w14:textId="77777777" w:rsidTr="00EE172C">
        <w:tc>
          <w:tcPr>
            <w:tcW w:w="1435" w:type="dxa"/>
          </w:tcPr>
          <w:p w14:paraId="013265C4" w14:textId="77777777" w:rsidR="00455F66" w:rsidRDefault="0060012E">
            <m:oMath>
              <m:r>
                <w:rPr>
                  <w:rFonts w:ascii="Cambria Math" w:hAnsi="Cambria Math"/>
                  <w:sz w:val="17"/>
                </w:rPr>
                <m:t>τ=1</m:t>
              </m:r>
            </m:oMath>
            <w:r>
              <w:rPr>
                <w:rFonts w:eastAsiaTheme="minorEastAsia"/>
                <w:sz w:val="17"/>
              </w:rPr>
              <w:t xml:space="preserve"> </w:t>
            </w:r>
          </w:p>
        </w:tc>
        <w:tc>
          <w:tcPr>
            <w:tcW w:w="7915" w:type="dxa"/>
          </w:tcPr>
          <w:p w14:paraId="0576BCA4" w14:textId="77777777" w:rsidR="00455F66" w:rsidRDefault="00000000">
            <w:r>
              <w:rPr>
                <w:rFonts w:ascii="Calibri" w:hAnsi="Calibri"/>
                <w:sz w:val="17"/>
              </w:rPr>
              <w:t>V_θ = −log Σ_k π_k e^{−E_k} — exact negative GMM log-likelihood</w:t>
            </w:r>
          </w:p>
        </w:tc>
      </w:tr>
      <w:tr w:rsidR="00455F66" w14:paraId="250AFAA1" w14:textId="77777777" w:rsidTr="00EE172C">
        <w:tc>
          <w:tcPr>
            <w:tcW w:w="1435" w:type="dxa"/>
          </w:tcPr>
          <w:p w14:paraId="3582D044" w14:textId="77777777" w:rsidR="00455F66" w:rsidRDefault="0060012E">
            <m:oMath>
              <m:r>
                <w:rPr>
                  <w:rFonts w:ascii="Cambria Math" w:hAnsi="Cambria Math"/>
                  <w:sz w:val="17"/>
                </w:rPr>
                <m:t>τ→∞</m:t>
              </m:r>
            </m:oMath>
            <w:r>
              <w:rPr>
                <w:rFonts w:eastAsiaTheme="minorEastAsia"/>
                <w:sz w:val="17"/>
              </w:rPr>
              <w:t xml:space="preserve"> </w:t>
            </w:r>
          </w:p>
        </w:tc>
        <w:tc>
          <w:tcPr>
            <w:tcW w:w="7915" w:type="dxa"/>
          </w:tcPr>
          <w:p w14:paraId="767C991E" w14:textId="77777777" w:rsidR="00455F66" w:rsidRDefault="00000000">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 weighted average of the wells (equals </w:t>
            </w:r>
            <m:oMath>
              <m:box>
                <m:boxPr>
                  <m:ctrlPr>
                    <w:rPr>
                      <w:rFonts w:ascii="Cambria Math" w:hAnsi="Cambria Math"/>
                    </w:rPr>
                  </m:ctrlPr>
                </m:boxPr>
                <m:e>
                  <m:r>
                    <m:rPr>
                      <m:sty m:val="p"/>
                    </m:rPr>
                    <w:rPr>
                      <w:rFonts w:ascii="Cambria Math" w:hAnsi="Cambria Math"/>
                    </w:rPr>
                    <m:t>(1/</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only for uniform </w:t>
            </w:r>
            <m:oMath>
              <m:box>
                <m:boxPr>
                  <m:ctrlPr>
                    <w:rPr>
                      <w:rFonts w:ascii="Cambria Math" w:hAnsi="Cambria Math"/>
                    </w:rPr>
                  </m:ctrlPr>
                </m:boxPr>
                <m:e>
                  <m:r>
                    <w:rPr>
                      <w:rFonts w:ascii="Cambria Math" w:hAnsi="Cambria Math"/>
                    </w:rPr>
                    <m:t>π</m:t>
                  </m:r>
                </m:e>
              </m:box>
            </m:oMath>
            <w:r>
              <w:t>); one merged basin.</w:t>
            </w:r>
          </w:p>
        </w:tc>
      </w:tr>
    </w:tbl>
    <w:p w14:paraId="313DA72A" w14:textId="77777777" w:rsidR="00455F66" w:rsidRDefault="00455F66"/>
    <w:p w14:paraId="2542C456" w14:textId="77777777" w:rsidR="00455F66" w:rsidRDefault="00000000">
      <w:pPr>
        <w:spacing w:after="120"/>
      </w:pP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is the canonical choice because it connects SQ3 directly to the Gaussian mixture motivation of Section 4 of the paper [1], as derived in Potential Wells and the Concept of Temperature above: energy units and probability units match, and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sup>
            </m:sSup>
          </m:e>
        </m:box>
      </m:oMath>
      <w:r>
        <w:t xml:space="preserve"> is the mixture density. The three mixing regimes and the sandwich bound are not repeated here.</w:t>
      </w:r>
    </w:p>
    <w:p w14:paraId="0D72D510" w14:textId="77777777" w:rsidR="00455F66" w:rsidRDefault="00000000">
      <w:pPr>
        <w:pStyle w:val="Heading3"/>
        <w:spacing w:after="120"/>
      </w:pPr>
      <w:bookmarkStart w:id="15" w:name="_Toc240119377"/>
      <w:r>
        <w:rPr>
          <w:rFonts w:ascii="Calibri" w:hAnsi="Calibri"/>
          <w:sz w:val="19"/>
        </w:rPr>
        <w:t>The practical punchline</w:t>
      </w:r>
      <w:bookmarkEnd w:id="15"/>
    </w:p>
    <w:p w14:paraId="096474AC" w14:textId="77777777" w:rsidR="00455F66" w:rsidRDefault="00000000">
      <w:pPr>
        <w:spacing w:after="120"/>
      </w:pPr>
      <w:r>
        <w:rPr>
          <w:rFonts w:ascii="Calibri" w:hAnsi="Calibri"/>
        </w:rPr>
        <w:t xml:space="preserve">The SPLM paper motivates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as governing a landscape of Gaussian wells (semantic attractor basins). SQ3 is that landscape, by construction. You are not approximating Gaussian wells with quadratics — you are writing them down directly in their exact mathematical form, then mixing them with a log-sum-exp (which is the soft generalisation of the minimum over the </w:t>
      </w:r>
      <m:oMath>
        <m:box>
          <m:boxPr>
            <m:ctrlPr>
              <w:rPr>
                <w:rFonts w:ascii="Cambria Math" w:hAnsi="Cambria Math"/>
              </w:rPr>
            </m:ctrlPr>
          </m:boxPr>
          <m:e>
            <m:r>
              <w:rPr>
                <w:rFonts w:ascii="Cambria Math" w:hAnsi="Cambria Math"/>
              </w:rPr>
              <m:t>K</m:t>
            </m:r>
          </m:e>
        </m:box>
      </m:oMath>
      <w:r>
        <w:rPr>
          <w:rFonts w:ascii="Calibri" w:hAnsi="Calibri"/>
        </w:rPr>
        <w:t xml:space="preserve"> components). The “quadratic” and “Gaussian” labels are just two ways to say the same thing.</w:t>
      </w:r>
    </w:p>
    <w:p w14:paraId="6DDCA440" w14:textId="77777777" w:rsidR="00455F66" w:rsidRDefault="00000000">
      <w:pPr>
        <w:spacing w:after="120"/>
      </w:pPr>
      <w:r>
        <w:rPr>
          <w:rFonts w:ascii="Calibri" w:hAnsi="Calibri"/>
        </w:rPr>
        <w:t xml:space="preserve">The labels SQ1 / SQ3 / SQ5 refer to the structured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sweep from Section 17 of </w:t>
      </w:r>
      <w:r w:rsidR="008A10A1">
        <w:rPr>
          <w:rFonts w:ascii="Calibri" w:hAnsi="Calibri"/>
        </w:rPr>
        <w:t>[2] (</w:t>
      </w:r>
      <w:r>
        <w:rPr>
          <w:rFonts w:ascii="Calibri" w:hAnsi="Calibri"/>
        </w:rPr>
        <w:t>Semantic_Attractor_Extraction.md</w:t>
      </w:r>
      <w:r w:rsidR="008A10A1">
        <w:rPr>
          <w:rFonts w:ascii="Calibri" w:hAnsi="Calibri"/>
        </w:rPr>
        <w:t>)</w:t>
      </w:r>
      <w:r>
        <w:rPr>
          <w:rFonts w:ascii="Calibri" w:hAnsi="Calibri"/>
        </w:rPr>
        <w:t>.</w:t>
      </w:r>
    </w:p>
    <w:tbl>
      <w:tblPr>
        <w:tblStyle w:val="TableGrid"/>
        <w:tblW w:w="0" w:type="auto"/>
        <w:tblLook w:val="04A0" w:firstRow="1" w:lastRow="0" w:firstColumn="1" w:lastColumn="0" w:noHBand="0" w:noVBand="1"/>
      </w:tblPr>
      <w:tblGrid>
        <w:gridCol w:w="4675"/>
        <w:gridCol w:w="4675"/>
      </w:tblGrid>
      <w:tr w:rsidR="00455F66" w14:paraId="25B6922E" w14:textId="77777777">
        <w:tc>
          <w:tcPr>
            <w:tcW w:w="4680" w:type="dxa"/>
          </w:tcPr>
          <w:p w14:paraId="44962D2D" w14:textId="77777777" w:rsidR="00455F66" w:rsidRDefault="00000000">
            <w:r>
              <w:rPr>
                <w:rFonts w:ascii="Calibri" w:hAnsi="Calibri"/>
                <w:b/>
                <w:sz w:val="17"/>
              </w:rPr>
              <w:t>Label</w:t>
            </w:r>
          </w:p>
        </w:tc>
        <w:tc>
          <w:tcPr>
            <w:tcW w:w="4680" w:type="dxa"/>
          </w:tcPr>
          <w:p w14:paraId="504FEFFD" w14:textId="77777777" w:rsidR="00455F66" w:rsidRDefault="00000000">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θ</m:t>
                  </m:r>
                </m:sub>
              </m:sSub>
            </m:oMath>
            <w:r w:rsidR="002F2BCA">
              <w:rPr>
                <w:rFonts w:ascii="Calibri" w:eastAsiaTheme="minorEastAsia" w:hAnsi="Calibri"/>
              </w:rPr>
              <w:t xml:space="preserve"> </w:t>
            </w:r>
            <w:r w:rsidR="002F2BCA">
              <w:rPr>
                <w:rFonts w:ascii="Calibri" w:hAnsi="Calibri"/>
                <w:b/>
                <w:sz w:val="17"/>
              </w:rPr>
              <w:t>form</w:t>
            </w:r>
          </w:p>
        </w:tc>
      </w:tr>
      <w:tr w:rsidR="00455F66" w14:paraId="2F9510FC" w14:textId="77777777">
        <w:tc>
          <w:tcPr>
            <w:tcW w:w="4680" w:type="dxa"/>
          </w:tcPr>
          <w:p w14:paraId="6812BD4F" w14:textId="77777777" w:rsidR="00455F66" w:rsidRDefault="00000000">
            <w:r>
              <w:rPr>
                <w:rFonts w:ascii="Calibri" w:hAnsi="Calibri"/>
                <w:sz w:val="17"/>
              </w:rPr>
              <w:t>SQ1</w:t>
            </w:r>
          </w:p>
        </w:tc>
        <w:tc>
          <w:tcPr>
            <w:tcW w:w="4680" w:type="dxa"/>
          </w:tcPr>
          <w:p w14:paraId="31F56E4B" w14:textId="77777777" w:rsidR="00455F66" w:rsidRDefault="00000000">
            <w:r>
              <w:rPr>
                <w:rFonts w:ascii="Calibri" w:hAnsi="Calibri"/>
                <w:sz w:val="17"/>
              </w:rPr>
              <w:t>K=1 diagonal quadratic well (planned, not yet run)</w:t>
            </w:r>
          </w:p>
        </w:tc>
      </w:tr>
      <w:tr w:rsidR="00455F66" w14:paraId="32F1F793" w14:textId="77777777">
        <w:tc>
          <w:tcPr>
            <w:tcW w:w="4680" w:type="dxa"/>
          </w:tcPr>
          <w:p w14:paraId="04B94FF1" w14:textId="77777777" w:rsidR="00455F66" w:rsidRDefault="00000000">
            <w:r>
              <w:rPr>
                <w:rFonts w:ascii="Calibri" w:hAnsi="Calibri"/>
                <w:sz w:val="17"/>
              </w:rPr>
              <w:t>SQ3</w:t>
            </w:r>
          </w:p>
        </w:tc>
        <w:tc>
          <w:tcPr>
            <w:tcW w:w="4680" w:type="dxa"/>
          </w:tcPr>
          <w:p w14:paraId="543C9376" w14:textId="77777777" w:rsidR="00455F66" w:rsidRDefault="00000000">
            <w:r>
              <w:rPr>
                <w:rFonts w:ascii="Calibri" w:hAnsi="Calibri"/>
                <w:sz w:val="17"/>
              </w:rPr>
              <w:t>K=4 mixture of diagonal quadratic wells (the main result)</w:t>
            </w:r>
          </w:p>
        </w:tc>
      </w:tr>
      <w:tr w:rsidR="00455F66" w14:paraId="40A8376D" w14:textId="77777777">
        <w:tc>
          <w:tcPr>
            <w:tcW w:w="4680" w:type="dxa"/>
          </w:tcPr>
          <w:p w14:paraId="07B396DA" w14:textId="77777777" w:rsidR="00455F66" w:rsidRDefault="00000000">
            <w:r>
              <w:rPr>
                <w:rFonts w:ascii="Calibri" w:hAnsi="Calibri"/>
                <w:sz w:val="17"/>
              </w:rPr>
              <w:t>SQ5</w:t>
            </w:r>
          </w:p>
        </w:tc>
        <w:tc>
          <w:tcPr>
            <w:tcW w:w="4680" w:type="dxa"/>
          </w:tcPr>
          <w:p w14:paraId="0FAED183" w14:textId="77777777" w:rsidR="00455F66" w:rsidRDefault="00000000">
            <w:r>
              <w:rPr>
                <w:rFonts w:ascii="Calibri" w:hAnsi="Calibri"/>
                <w:sz w:val="17"/>
              </w:rPr>
              <w:t>Unconstrained MLP reference</w:t>
            </w:r>
          </w:p>
        </w:tc>
      </w:tr>
    </w:tbl>
    <w:p w14:paraId="10632A37" w14:textId="77777777" w:rsidR="00455F66" w:rsidRDefault="00455F66"/>
    <w:p w14:paraId="47573CBF" w14:textId="77777777" w:rsidR="00455F66" w:rsidRDefault="00000000">
      <w:pPr>
        <w:spacing w:after="120"/>
      </w:pPr>
      <w:r>
        <w:rPr>
          <w:rFonts w:ascii="Calibri" w:hAnsi="Calibri"/>
        </w:rPr>
        <w:t xml:space="preserve">A single SQ1 component (subscripted by </w:t>
      </w:r>
      <m:oMath>
        <m:box>
          <m:boxPr>
            <m:ctrlPr>
              <w:rPr>
                <w:rFonts w:ascii="Cambria Math" w:hAnsi="Cambria Math"/>
              </w:rPr>
            </m:ctrlPr>
          </m:boxPr>
          <m:e>
            <m:r>
              <w:rPr>
                <w:rFonts w:ascii="Cambria Math" w:hAnsi="Cambria Math"/>
              </w:rPr>
              <m:t>k</m:t>
            </m:r>
          </m:e>
        </m:box>
      </m:oMath>
      <w:r>
        <w:rPr>
          <w:rFonts w:ascii="Calibri" w:hAnsi="Calibri"/>
        </w:rPr>
        <w:t>) is one diagonal quadratic energy well:</w:t>
      </w:r>
    </w:p>
    <w:p w14:paraId="78C25123"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51AF9F2E"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is the context-dependent centre of the well (where the potential is minimised),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Sup>
              <m:sSubSupPr>
                <m:ctrlPr>
                  <w:rPr>
                    <w:rFonts w:ascii="Cambria Math" w:hAnsi="Cambria Math"/>
                  </w:rPr>
                </m:ctrlPr>
              </m:sSubSupPr>
              <m:e>
                <m:r>
                  <w:rPr>
                    <w:rFonts w:ascii="Cambria Math" w:hAnsi="Cambria Math"/>
                  </w:rPr>
                  <m:t>R</m:t>
                </m:r>
              </m:e>
              <m:sub>
                <m:box>
                  <m:boxPr>
                    <m:ctrlPr>
                      <w:rPr>
                        <w:rFonts w:ascii="Cambria Math" w:hAnsi="Cambria Math"/>
                      </w:rPr>
                    </m:ctrlPr>
                  </m:boxPr>
                  <m:e>
                    <m:r>
                      <m:rPr>
                        <m:sty m:val="p"/>
                      </m:rPr>
                      <w:rPr>
                        <w:rFonts w:ascii="Cambria Math" w:hAnsi="Cambria Math"/>
                      </w:rPr>
                      <m:t>&gt;0</m:t>
                    </m:r>
                  </m:e>
                </m:box>
              </m:sub>
              <m:sup>
                <m:r>
                  <w:rPr>
                    <w:rFonts w:ascii="Cambria Math" w:hAnsi="Cambria Math"/>
                  </w:rPr>
                  <m:t>d</m:t>
                </m:r>
              </m:sup>
            </m:sSubSup>
          </m:e>
        </m:box>
      </m:oMath>
      <w:r>
        <w:rPr>
          <w:rFonts w:ascii="Calibri" w:hAnsi="Calibri"/>
        </w:rPr>
        <w:t xml:space="preserve"> is the context-dependent diagonal precision (sharpness / stiffness along each coordinate). Both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rPr>
          <w:rFonts w:ascii="Calibri" w:hAnsi="Calibri"/>
        </w:rPr>
        <w:t xml:space="preserve"> are produced by small MLPs that take the EMA context vector </w:t>
      </w:r>
      <m:oMath>
        <m:box>
          <m:boxPr>
            <m:ctrlPr>
              <w:rPr>
                <w:rFonts w:ascii="Cambria Math" w:hAnsi="Cambria Math"/>
              </w:rPr>
            </m:ctrlPr>
          </m:boxPr>
          <m:e>
            <m:r>
              <w:rPr>
                <w:rFonts w:ascii="Cambria Math" w:hAnsi="Cambria Math"/>
              </w:rPr>
              <m:t>ξ</m:t>
            </m:r>
          </m:e>
        </m:box>
      </m:oMath>
      <w:r>
        <w:rPr>
          <w:rFonts w:ascii="Calibri" w:hAnsi="Calibri"/>
        </w:rPr>
        <w:t xml:space="preserve"> as input.</w:t>
      </w:r>
    </w:p>
    <w:p w14:paraId="597A7E1A" w14:textId="77777777" w:rsidR="00455F66" w:rsidRDefault="00000000">
      <w:pPr>
        <w:spacing w:after="120"/>
      </w:pPr>
      <w:r>
        <w:rPr>
          <w:rFonts w:ascii="Calibri" w:hAnsi="Calibri"/>
        </w:rPr>
        <w:t>This quadratic energy is exactly the negative log of a diagonal Gaussian. The Boltzmann weight</w:t>
      </w:r>
    </w:p>
    <w:p w14:paraId="4B4495D8"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2135569D" w14:textId="77777777" w:rsidR="00455F66" w:rsidRDefault="00000000">
      <w:pPr>
        <w:spacing w:after="120"/>
      </w:pPr>
      <w:r>
        <w:rPr>
          <w:rFonts w:ascii="Calibri" w:hAnsi="Calibri"/>
        </w:rPr>
        <w:t xml:space="preserve">is a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diagonal covariance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diag</m:t>
                </m:r>
              </m:e>
            </m:box>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dynamics language this is a parabolic potential well that attracts hidden states toward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with stiffness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probability language it is a Gaussian distribution over </w:t>
      </w:r>
      <m:oMath>
        <m:box>
          <m:boxPr>
            <m:ctrlPr>
              <w:rPr>
                <w:rFonts w:ascii="Cambria Math" w:hAnsi="Cambria Math"/>
              </w:rPr>
            </m:ctrlPr>
          </m:boxPr>
          <m:e>
            <m:r>
              <w:rPr>
                <w:rFonts w:ascii="Cambria Math" w:hAnsi="Cambria Math"/>
              </w:rPr>
              <m:t>h</m:t>
            </m:r>
          </m:e>
        </m:box>
      </m:oMath>
      <w:r>
        <w:rPr>
          <w:rFonts w:ascii="Calibri" w:hAnsi="Calibri"/>
        </w:rPr>
        <w:t xml:space="preserve"> conditioned on </w:t>
      </w:r>
      <m:oMath>
        <m:box>
          <m:boxPr>
            <m:ctrlPr>
              <w:rPr>
                <w:rFonts w:ascii="Cambria Math" w:hAnsi="Cambria Math"/>
              </w:rPr>
            </m:ctrlPr>
          </m:boxPr>
          <m:e>
            <m:r>
              <w:rPr>
                <w:rFonts w:ascii="Cambria Math" w:hAnsi="Cambria Math"/>
              </w:rPr>
              <m:t>ξ</m:t>
            </m:r>
          </m:e>
        </m:box>
      </m:oMath>
      <w:r>
        <w:rPr>
          <w:rFonts w:ascii="Calibri" w:hAnsi="Calibri"/>
        </w:rPr>
        <w:t>.</w:t>
      </w:r>
    </w:p>
    <w:p w14:paraId="16488208" w14:textId="41EF587F" w:rsidR="00455F66" w:rsidRDefault="00000000">
      <w:pPr>
        <w:spacing w:after="120"/>
      </w:pPr>
      <w:r>
        <w:lastRenderedPageBreak/>
        <w:t xml:space="preserve">SQ3 achieved a perplexity of 184.5, matching the MLP baseline. It is defined as a log-sum-exp of </w:t>
      </w:r>
      <m:oMath>
        <m:box>
          <m:boxPr>
            <m:ctrlPr>
              <w:rPr>
                <w:rFonts w:ascii="Cambria Math" w:hAnsi="Cambria Math"/>
              </w:rPr>
            </m:ctrlPr>
          </m:boxPr>
          <m:e>
            <m:r>
              <w:rPr>
                <w:rFonts w:ascii="Cambria Math" w:hAnsi="Cambria Math"/>
              </w:rPr>
              <m:t>K</m:t>
            </m:r>
            <m:r>
              <m:rPr>
                <m:sty m:val="p"/>
              </m:rPr>
              <w:rPr>
                <w:rFonts w:ascii="Cambria Math" w:hAnsi="Cambria Math"/>
              </w:rPr>
              <m:t>=4</m:t>
            </m:r>
          </m:e>
        </m:box>
      </m:oMath>
      <w:r>
        <w:t xml:space="preserve"> such components (</w:t>
      </w:r>
      <w:r>
        <w:rPr>
          <w:rFonts w:ascii="Consolas" w:hAnsi="Consolas"/>
        </w:rPr>
        <w:t>MixtureQuadraticVTheta</w:t>
      </w:r>
      <w:r w:rsidR="00D20131">
        <w:t>) and</w:t>
      </w:r>
      <w:r>
        <w:t xml:space="preserve"> is the negative log-density of a mixture of </w:t>
      </w:r>
      <m:oMath>
        <m:box>
          <m:boxPr>
            <m:ctrlPr>
              <w:rPr>
                <w:rFonts w:ascii="Cambria Math" w:hAnsi="Cambria Math"/>
              </w:rPr>
            </m:ctrlPr>
          </m:boxPr>
          <m:e>
            <m:r>
              <w:rPr>
                <w:rFonts w:ascii="Cambria Math" w:hAnsi="Cambria Math"/>
              </w:rPr>
              <m:t>K</m:t>
            </m:r>
          </m:e>
        </m:box>
      </m:oMath>
      <w:r>
        <w:t xml:space="preserve"> Gaussian wells at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That is </w:t>
      </w:r>
      <w:r>
        <w:rPr>
          <w:b/>
        </w:rPr>
        <w:t>not</w:t>
      </w:r>
      <w:r>
        <w:t xml:space="preserve"> the production bump potential </w:t>
      </w:r>
      <w:r>
        <w:rPr>
          <w:rFonts w:ascii="Consolas" w:hAnsi="Consolas"/>
        </w:rPr>
        <w:t>MixtureGaussianVTheta</w:t>
      </w:r>
      <w:r>
        <w:t xml:space="preserve"> used in the fock_gaussian_sarf Phase 5 run; the two share the same per-well energy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but combine the wells differently (see the next subsection).</w:t>
      </w:r>
    </w:p>
    <w:p w14:paraId="76B11AD6" w14:textId="77777777" w:rsidR="00803748" w:rsidRDefault="00803748"/>
    <w:p w14:paraId="035F6AD9" w14:textId="77777777" w:rsidR="00803748" w:rsidRDefault="00000000">
      <w:pPr>
        <w:pStyle w:val="Heading2"/>
      </w:pPr>
      <w:bookmarkStart w:id="16" w:name="_Toc240119378"/>
      <w:r>
        <w:t>Gaussian Wells</w:t>
      </w:r>
      <w:bookmarkEnd w:id="16"/>
    </w:p>
    <w:p w14:paraId="7E92B7E8" w14:textId="77777777" w:rsidR="00803748" w:rsidRDefault="00803748"/>
    <w:p w14:paraId="5DA63E82" w14:textId="77777777" w:rsidR="00803748" w:rsidRDefault="00000000">
      <w:r>
        <w:t xml:space="preserve">The previous subsection derived the well energy </w:t>
      </w:r>
      <m:oMath>
        <m:box>
          <m:boxPr>
            <m:ctrlPr>
              <w:rPr>
                <w:rFonts w:ascii="Cambria Math" w:hAnsi="Cambria Math"/>
              </w:rPr>
            </m:ctrlPr>
          </m:boxPr>
          <m:e>
            <m:sSub>
              <m:sSubPr>
                <m:ctrlPr>
                  <w:rPr>
                    <w:rFonts w:ascii="Cambria Math" w:hAnsi="Cambria Math"/>
                    <w:i/>
                  </w:rPr>
                </m:ctrlPr>
              </m:sSubPr>
              <m:e>
                <m:r>
                  <w:rPr>
                    <w:rFonts w:ascii="Cambria Math" w:hAnsi="Cambria Math"/>
                  </w:rPr>
                  <m:t>E</m:t>
                </m:r>
              </m:e>
              <m:sub>
                <m:r>
                  <w:rPr>
                    <w:rFonts w:ascii="Cambria Math" w:hAnsi="Cambria Math"/>
                  </w:rPr>
                  <m:t>k</m:t>
                </m:r>
              </m:sub>
            </m:sSub>
          </m:e>
        </m:box>
      </m:oMath>
      <w:r>
        <w:t xml:space="preserve"> purely as a quadratic form. The production </w:t>
      </w:r>
      <w:r>
        <w:rPr>
          <w:rFonts w:ascii="Consolas" w:hAnsi="Consolas"/>
          <w:sz w:val="17"/>
        </w:rPr>
        <w:t>V_theta</w:t>
      </w:r>
      <w:r>
        <w:t xml:space="preserve"> modules used across the Fock-PARFLM / SPLM codebase (</w:t>
      </w:r>
      <w:r>
        <w:rPr>
          <w:rFonts w:ascii="Consolas" w:hAnsi="Consolas"/>
          <w:sz w:val="17"/>
        </w:rPr>
        <w:t>model_gaussian_vtheta.py</w:t>
      </w:r>
      <w:r>
        <w:t xml:space="preserve">) do not evaluate the log-sum-exp mixture potential of the previous subsection directly. Instead they implement the corresponding Gaussian-well potential as a sum of structurally bounded negative Gaussian bumps, replacing SQ3 for exactly this reason: the log-sum-exp mixture’s force is unbounded, while a sum of bumps has both potential and force bounded by construction. Two variants of this bump potential exist side by side in the codebase — an isotropic variant, in which the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is diagonal (every well is an axis-aligned ellipsoid), and an anisotropic variant, in which a learned low-rank correction is added to the diagonal precision so that each well can tilt into a non-axis-aligned ellipsoid. Both are given below with their closed-form gradients and the code that implements them.</w:t>
      </w:r>
    </w:p>
    <w:p w14:paraId="4DB8EB8D" w14:textId="77777777" w:rsidR="00803748" w:rsidRDefault="00803748"/>
    <w:p w14:paraId="4A315065" w14:textId="77777777" w:rsidR="00803748" w:rsidRDefault="00000000">
      <w:pPr>
        <w:pStyle w:val="Heading3"/>
      </w:pPr>
      <w:bookmarkStart w:id="17" w:name="_Toc240119379"/>
      <w:r>
        <w:t>Isotropic implementation: MixtureGaussianVTheta</w:t>
      </w:r>
      <w:bookmarkEnd w:id="17"/>
    </w:p>
    <w:p w14:paraId="60E61A2A" w14:textId="77777777" w:rsidR="00803748" w:rsidRDefault="00803748"/>
    <w:p w14:paraId="7686B78A" w14:textId="77777777" w:rsidR="00803748" w:rsidRDefault="00000000">
      <w:r>
        <w:t xml:space="preserve">The isotropic well bank keeps the diagonal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of the quadratic well defined above, and turns it into a bounded potential by summing negative Gaussian bumps rather than taking a log-sum-exp:</w:t>
      </w:r>
    </w:p>
    <w:p w14:paraId="293C13C2" w14:textId="77777777" w:rsidR="00803748" w:rsidRDefault="00803748"/>
    <w:p w14:paraId="00CEBF3D" w14:textId="77777777" w:rsidR="00803748" w:rsidRDefault="00000000">
      <w:pPr>
        <w:spacing w:before="120" w:after="120"/>
        <w:jc w:val="center"/>
      </w:pPr>
      <m:oMathPara>
        <m:oMath>
          <m:box>
            <m:boxPr>
              <m:ctrlPr>
                <w:rPr>
                  <w:rFonts w:ascii="Cambria Math" w:hAnsi="Cambria Math"/>
                </w:rPr>
              </m:ctrlPr>
            </m:boxPr>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θ</m:t>
                      </m:r>
                    </m:sub>
                  </m:sSub>
                </m:e>
                <m:sup>
                  <m:r>
                    <m:rPr>
                      <m:sty m:val="p"/>
                    </m:rPr>
                    <w:rPr>
                      <w:rFonts w:ascii="Cambria Math" w:hAnsi="Cambria Math"/>
                    </w:rPr>
                    <m:t>iso</m:t>
                  </m:r>
                </m:sup>
              </m:s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d>
                </m:e>
              </m:nary>
            </m:e>
          </m:box>
        </m:oMath>
      </m:oMathPara>
    </w:p>
    <w:p w14:paraId="168B3EC3" w14:textId="77777777" w:rsidR="00803748" w:rsidRDefault="00000000">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are softmax mixture weights and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is the same diagonal quadratic energy defined above. Because every bump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e>
        </m:box>
      </m:oMath>
      <w:r>
        <w:t xml:space="preserve"> is non-negative and bounded above by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the total potential is bounded by construction, unlike the unbounded-force log-sum-exp mixture of the previous subsection. Unlike SQ3, this bump potential is </w:t>
      </w:r>
      <w:r>
        <w:rPr>
          <w:b/>
        </w:rPr>
        <w:t>not</w:t>
      </w:r>
      <w:r>
        <w:t xml:space="preserve"> the negative log of a GMM: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V</m:t>
                        </m:r>
                      </m:e>
                      <m:sub>
                        <m:box>
                          <m:boxPr>
                            <m:ctrlPr>
                              <w:rPr>
                                <w:rFonts w:ascii="Cambria Math" w:hAnsi="Cambria Math"/>
                              </w:rPr>
                            </m:ctrlPr>
                          </m:boxPr>
                          <m:e>
                            <m:r>
                              <w:rPr>
                                <w:rFonts w:ascii="Cambria Math" w:hAnsi="Cambria Math"/>
                              </w:rPr>
                              <m:t>θ</m:t>
                            </m:r>
                          </m:e>
                        </m:box>
                      </m:sub>
                      <m:sup>
                        <m:box>
                          <m:boxPr>
                            <m:ctrlPr>
                              <w:rPr>
                                <w:rFonts w:ascii="Cambria Math" w:hAnsi="Cambria Math"/>
                              </w:rPr>
                            </m:ctrlPr>
                          </m:boxPr>
                          <m:e>
                            <m:r>
                              <m:rPr>
                                <m:nor/>
                              </m:rPr>
                              <w:rPr>
                                <w:rFonts w:ascii="Cambria Math" w:hAnsi="Cambria Math"/>
                              </w:rPr>
                              <m:t>iso</m:t>
                            </m:r>
                          </m:e>
                        </m:box>
                      </m:sup>
                    </m:sSubSup>
                  </m:e>
                </m:box>
              </m:sup>
            </m:sSup>
            <m:r>
              <m:rPr>
                <m:sty m:val="p"/>
              </m:rPr>
              <w:rPr>
                <w:rFonts w:ascii="Cambria Math" w:hAnsi="Cambria Math"/>
              </w:rPr>
              <m:t>=exp(</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w</m:t>
                    </m:r>
                  </m:e>
                  <m:sub>
                    <m:r>
                      <w:rPr>
                        <w:rFonts w:ascii="Cambria Math" w:hAnsi="Cambria Math"/>
                      </w:rPr>
                      <m:t>k</m:t>
                    </m:r>
                  </m:sub>
                </m:sSub>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box>
                  </m:sup>
                </m:sSup>
                <m:r>
                  <m:rPr>
                    <m:sty m:val="p"/>
                  </m:rPr>
                  <w:rPr>
                    <w:rFonts w:ascii="Cambria Math" w:hAnsi="Cambria Math"/>
                  </w:rPr>
                  <m:t>)</m:t>
                </m:r>
              </m:e>
            </m:nary>
          </m:e>
        </m:box>
      </m:oMath>
      <w:r>
        <w:t xml:space="preserve"> is not a mixture density. Differentiating term-by-term gives the per-well gradient of </w:t>
      </w:r>
      <m:oMath>
        <m:box>
          <m:boxPr>
            <m:ctrlPr>
              <w:rPr>
                <w:rFonts w:ascii="Cambria Math" w:hAnsi="Cambria Math"/>
              </w:rPr>
            </m:ctrlPr>
          </m:boxPr>
          <m:e>
            <m:r>
              <w:rPr>
                <w:rFonts w:ascii="Cambria Math" w:hAnsi="Cambria Math"/>
              </w:rPr>
              <m:t>V</m:t>
            </m:r>
          </m:e>
        </m:box>
      </m:oMath>
      <w:r>
        <w:t xml:space="preserve"> (not the force):</w:t>
      </w:r>
    </w:p>
    <w:p w14:paraId="76F369C6" w14:textId="77777777" w:rsidR="00803748" w:rsidRDefault="00803748"/>
    <w:p w14:paraId="732DB957"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r>
                    <w:rPr>
                      <w:rFonts w:ascii="Cambria Math" w:hAnsi="Cambria Math"/>
                    </w:rPr>
                    <m:t>k</m:t>
                  </m:r>
                </m:sub>
                <m:sup>
                  <m:box>
                    <m:boxPr>
                      <m:ctrlPr>
                        <w:rPr>
                          <w:rFonts w:ascii="Cambria Math" w:hAnsi="Cambria Math"/>
                        </w:rPr>
                      </m:ctrlPr>
                    </m:boxPr>
                    <m:e>
                      <m:r>
                        <m:rPr>
                          <m:nor/>
                        </m:rPr>
                        <w:rPr>
                          <w:rFonts w:ascii="Cambria Math" w:hAnsi="Cambria Math"/>
                        </w:rPr>
                        <m:t>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m:oMathPara>
    </w:p>
    <w:p w14:paraId="3C2C301F" w14:textId="77777777" w:rsidR="00803748" w:rsidRDefault="00000000">
      <w:r>
        <w:t xml:space="preserve">summed over </w:t>
      </w:r>
      <m:oMath>
        <m:box>
          <m:boxPr>
            <m:ctrlPr>
              <w:rPr>
                <w:rFonts w:ascii="Cambria Math" w:hAnsi="Cambria Math"/>
              </w:rPr>
            </m:ctrlPr>
          </m:boxPr>
          <m:e>
            <m:r>
              <w:rPr>
                <w:rFonts w:ascii="Cambria Math" w:hAnsi="Cambria Math"/>
              </w:rPr>
              <m:t>k</m:t>
            </m:r>
            <m:r>
              <m:rPr>
                <m:sty m:val="p"/>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K</m:t>
            </m:r>
          </m:e>
        </m:box>
      </m:oMath>
      <w:r>
        <w:t xml:space="preserve"> for the total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box>
                  <m:boxPr>
                    <m:ctrlPr>
                      <w:rPr>
                        <w:rFonts w:ascii="Cambria Math" w:hAnsi="Cambria Math"/>
                      </w:rPr>
                    </m:ctrlPr>
                  </m:boxPr>
                  <m:e>
                    <m:r>
                      <w:rPr>
                        <w:rFonts w:ascii="Cambria Math" w:hAnsi="Cambria Math"/>
                      </w:rPr>
                      <m:t>θ</m:t>
                    </m:r>
                  </m:e>
                </m:box>
              </m:sub>
              <m:sup>
                <m:box>
                  <m:boxPr>
                    <m:ctrlPr>
                      <w:rPr>
                        <w:rFonts w:ascii="Cambria Math" w:hAnsi="Cambria Math"/>
                      </w:rPr>
                    </m:ctrlPr>
                  </m:boxPr>
                  <m:e>
                    <m:r>
                      <m:rPr>
                        <m:nor/>
                      </m:rPr>
                      <w:rPr>
                        <w:rFonts w:ascii="Cambria Math" w:hAnsi="Cambria Math"/>
                      </w:rPr>
                      <m:t>iso</m:t>
                    </m:r>
                  </m:e>
                </m:box>
              </m:sup>
            </m:sSubSup>
          </m:e>
        </m:box>
      </m:oMath>
      <w:r>
        <w:t xml:space="preserve">. The force used by the integrator is the opposite,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box>
                  <m:boxPr>
                    <m:ctrlPr>
                      <w:rPr>
                        <w:rFonts w:ascii="Cambria Math" w:hAnsi="Cambria Math"/>
                      </w:rPr>
                    </m:ctrlPr>
                  </m:boxPr>
                  <m:e>
                    <m:r>
                      <w:rPr>
                        <w:rFonts w:ascii="Cambria Math" w:hAnsi="Cambria Math"/>
                      </w:rPr>
                      <m:t>θ</m:t>
                    </m:r>
                  </m:e>
                </m:box>
              </m:sub>
              <m:sup>
                <m:box>
                  <m:boxPr>
                    <m:ctrlPr>
                      <w:rPr>
                        <w:rFonts w:ascii="Cambria Math" w:hAnsi="Cambria Math"/>
                      </w:rPr>
                    </m:ctrlPr>
                  </m:boxPr>
                  <m:e>
                    <m:r>
                      <m:rPr>
                        <m:nor/>
                      </m:rPr>
                      <w:rPr>
                        <w:rFonts w:ascii="Cambria Math" w:hAnsi="Cambria Math"/>
                      </w:rPr>
                      <m:t>iso</m:t>
                    </m:r>
                  </m:e>
                </m:box>
              </m:sup>
            </m:sSubSup>
          </m:e>
        </m:box>
      </m:oMath>
      <w:r>
        <w:t xml:space="preserve"> (in code, </w:t>
      </w:r>
      <w:r>
        <w:rPr>
          <w:rFonts w:ascii="Consolas" w:hAnsi="Consolas"/>
        </w:rPr>
        <w:t>f_theta = -analytical_grad(...)</w:t>
      </w:r>
      <w:r>
        <w:t xml:space="preserve">). This gradient is exactly class </w:t>
      </w:r>
      <w:r>
        <w:rPr>
          <w:rFonts w:ascii="Consolas" w:hAnsi="Consolas"/>
        </w:rPr>
        <w:t>MixtureGaussianVTheta</w:t>
      </w:r>
      <w:r>
        <w:t xml:space="preserve"> in model_gaussian_vtheta.py (repository path notebooks/conservative_arch/parf/model_gaussian_vtheta.py):</w:t>
      </w:r>
    </w:p>
    <w:p w14:paraId="063EF64C" w14:textId="77777777" w:rsidR="00803748" w:rsidRDefault="00803748"/>
    <w:p w14:paraId="387B7DB4" w14:textId="77777777" w:rsidR="00803748" w:rsidRDefault="003B520C">
      <w:hyperlink r:id="rId8" w:history="1">
        <w:r w:rsidRPr="003B520C">
          <w:rPr>
            <w:rStyle w:val="Hyperlink"/>
          </w:rPr>
          <w:t>model_gaussian_vtheta.py</w:t>
        </w:r>
      </w:hyperlink>
      <w:r>
        <w:t xml:space="preserve">, </w:t>
      </w:r>
      <w:hyperlink r:id="rId9" w:anchor="L36-L191" w:history="1">
        <w:r w:rsidRPr="00037AA1">
          <w:rPr>
            <w:rStyle w:val="Hyperlink"/>
          </w:rPr>
          <w:t xml:space="preserve">class </w:t>
        </w:r>
        <w:r w:rsidRPr="00037AA1">
          <w:rPr>
            <w:rStyle w:val="Hyperlink"/>
            <w:rFonts w:ascii="Consolas" w:hAnsi="Consolas" w:cs="Consolas"/>
            <w:sz w:val="17"/>
            <w:szCs w:val="17"/>
          </w:rPr>
          <w:t>MixtureGaussianVTheta</w:t>
        </w:r>
      </w:hyperlink>
      <w:r>
        <w:t>, lines 122–154:</w:t>
      </w:r>
    </w:p>
    <w:p w14:paraId="74922FCA" w14:textId="77777777" w:rsidR="00803748" w:rsidRDefault="00803748"/>
    <w:p w14:paraId="27404A93" w14:textId="77777777" w:rsidR="00803748" w:rsidRDefault="00000000">
      <w:pPr>
        <w:spacing w:after="120"/>
        <w:ind w:left="360"/>
      </w:pPr>
      <w:r>
        <w:rPr>
          <w:rFonts w:ascii="Consolas" w:hAnsi="Consolas"/>
          <w:sz w:val="17"/>
        </w:rPr>
        <w:t>def _components(self, xi: torch.Tensor):</w:t>
      </w:r>
      <w:r>
        <w:rPr>
          <w:rFonts w:ascii="Consolas" w:hAnsi="Consolas"/>
          <w:sz w:val="17"/>
        </w:rPr>
        <w:br/>
        <w:t xml:space="preserve">    lead = xi.shape[:-1]</w:t>
      </w:r>
      <w:r>
        <w:rPr>
          <w:rFonts w:ascii="Consolas" w:hAnsi="Consolas"/>
          <w:sz w:val="17"/>
        </w:rPr>
        <w:br/>
        <w:t xml:space="preserve">    mu = self.mu_proj(xi).view(*lead, self.K, self.d)</w:t>
      </w:r>
      <w:r>
        <w:rPr>
          <w:rFonts w:ascii="Consolas" w:hAnsi="Consolas"/>
          <w:sz w:val="17"/>
        </w:rPr>
        <w:br/>
        <w:t xml:space="preserve">    a = (F.softplus(self.a_proj(xi)) + 1e-4).view(*lead, self.K, self.d)</w:t>
      </w:r>
      <w:r>
        <w:rPr>
          <w:rFonts w:ascii="Consolas" w:hAnsi="Consolas"/>
          <w:sz w:val="17"/>
        </w:rPr>
        <w:br/>
        <w:t xml:space="preserve">    w = F.softmax(self.w_proj(xi), dim=-1) * self.w_scale   # (..., K)</w:t>
      </w:r>
      <w:r>
        <w:rPr>
          <w:rFonts w:ascii="Consolas" w:hAnsi="Consolas"/>
          <w:sz w:val="17"/>
        </w:rPr>
        <w:br/>
        <w:t xml:space="preserve">    return mu, a, w</w:t>
      </w:r>
      <w:r>
        <w:rPr>
          <w:rFonts w:ascii="Consolas" w:hAnsi="Consolas"/>
          <w:sz w:val="17"/>
        </w:rPr>
        <w:br/>
      </w:r>
      <w:r>
        <w:rPr>
          <w:rFonts w:ascii="Consolas" w:hAnsi="Consolas"/>
          <w:sz w:val="17"/>
        </w:rPr>
        <w:br/>
        <w:t>def forward(self, xi: torch.Tensor, h: torch.Tensor) -&gt; torch.Tensor:</w:t>
      </w:r>
      <w:r>
        <w:rPr>
          <w:rFonts w:ascii="Consolas" w:hAnsi="Consolas"/>
          <w:sz w:val="17"/>
        </w:rPr>
        <w:br/>
        <w:t xml:space="preserve">    mu, a, w = self._components(xi)</w:t>
      </w:r>
      <w:r>
        <w:rPr>
          <w:rFonts w:ascii="Consolas" w:hAnsi="Consolas"/>
          <w:sz w:val="17"/>
        </w:rPr>
        <w:br/>
      </w:r>
      <w:r>
        <w:rPr>
          <w:rFonts w:ascii="Consolas" w:hAnsi="Consolas"/>
          <w:sz w:val="17"/>
        </w:rPr>
        <w:lastRenderedPageBreak/>
        <w:t xml:space="preserve">    h_e = h.unsqueeze(-2)</w:t>
      </w:r>
      <w:r>
        <w:rPr>
          <w:rFonts w:ascii="Consolas" w:hAnsi="Consolas"/>
          <w:sz w:val="17"/>
        </w:rPr>
        <w:br/>
        <w:t xml:space="preserve">    diff = h_e - mu</w:t>
      </w:r>
      <w:r>
        <w:rPr>
          <w:rFonts w:ascii="Consolas" w:hAnsi="Consolas"/>
          <w:sz w:val="17"/>
        </w:rPr>
        <w:br/>
        <w:t xml:space="preserve">    exponent = -0.5 * (a * diff * diff).sum(dim=-1)</w:t>
      </w:r>
      <w:r>
        <w:rPr>
          <w:rFonts w:ascii="Consolas" w:hAnsi="Consolas"/>
          <w:sz w:val="17"/>
        </w:rPr>
        <w:br/>
        <w:t xml:space="preserve">    bumps = w * torch.exp(exponent)</w:t>
      </w:r>
      <w:r>
        <w:rPr>
          <w:rFonts w:ascii="Consolas" w:hAnsi="Consolas"/>
          <w:sz w:val="17"/>
        </w:rPr>
        <w:br/>
        <w:t xml:space="preserve">    V = -bumps.sum(dim=-1, keepdim=True)</w:t>
      </w:r>
      <w:r>
        <w:rPr>
          <w:rFonts w:ascii="Consolas" w:hAnsi="Consolas"/>
          <w:sz w:val="17"/>
        </w:rPr>
        <w:br/>
        <w:t xml:space="preserve">    return V</w:t>
      </w:r>
      <w:r>
        <w:rPr>
          <w:rFonts w:ascii="Consolas" w:hAnsi="Consolas"/>
          <w:sz w:val="17"/>
        </w:rPr>
        <w:br/>
      </w:r>
      <w:r>
        <w:rPr>
          <w:rFonts w:ascii="Consolas" w:hAnsi="Consolas"/>
          <w:sz w:val="17"/>
        </w:rPr>
        <w:br/>
        <w:t>def analytical_grad(self, xi, h):</w:t>
      </w:r>
      <w:r>
        <w:rPr>
          <w:rFonts w:ascii="Consolas" w:hAnsi="Consolas"/>
          <w:sz w:val="17"/>
        </w:rPr>
        <w:br/>
        <w:t xml:space="preserve">    mu, a, w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t xml:space="preserve">    exponent = -0.5 * (a * diff * diff).sum(dim=-1)</w:t>
      </w:r>
      <w:r>
        <w:rPr>
          <w:rFonts w:ascii="Consolas" w:hAnsi="Consolas"/>
          <w:sz w:val="17"/>
        </w:rPr>
        <w:br/>
        <w:t xml:space="preserve">    g = w * torch.exp(exponent)</w:t>
      </w:r>
      <w:r>
        <w:rPr>
          <w:rFonts w:ascii="Consolas" w:hAnsi="Consolas"/>
          <w:sz w:val="17"/>
        </w:rPr>
        <w:br/>
        <w:t xml:space="preserve">    per_comp = a * diff * g.unsqueeze(-1)</w:t>
      </w:r>
      <w:r>
        <w:rPr>
          <w:rFonts w:ascii="Consolas" w:hAnsi="Consolas"/>
          <w:sz w:val="17"/>
        </w:rPr>
        <w:br/>
        <w:t xml:space="preserve">    return per_comp.sum(dim=-2)</w:t>
      </w:r>
    </w:p>
    <w:p w14:paraId="6879BC59" w14:textId="77777777" w:rsidR="00803748" w:rsidRDefault="00803748"/>
    <w:p w14:paraId="213B7F18" w14:textId="77777777" w:rsidR="00803748" w:rsidRDefault="00000000">
      <w:r>
        <w:t xml:space="preserve">Reading the code against the equations above: </w:t>
      </w:r>
      <w:r>
        <w:rPr>
          <w:rFonts w:ascii="Consolas" w:hAnsi="Consolas"/>
          <w:sz w:val="17"/>
        </w:rPr>
        <w:t>a_proj</w:t>
      </w:r>
      <w:r>
        <w:t xml:space="preserve"> produces the diagonal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box>
      </m:oMath>
      <w:r>
        <w:t xml:space="preserve"> (softplus keeps it positive), </w:t>
      </w:r>
      <w:r>
        <w:rPr>
          <w:rFonts w:ascii="Consolas" w:hAnsi="Consolas"/>
          <w:sz w:val="17"/>
        </w:rPr>
        <w:t>exponent</w:t>
      </w:r>
      <w:r>
        <w:t xml:space="preserve"> is </w:t>
      </w:r>
      <m:oMath>
        <m:box>
          <m:boxPr>
            <m:ctrlPr>
              <w:rPr>
                <w:rFonts w:ascii="Cambria Math" w:hAnsi="Cambria Math"/>
              </w:rPr>
            </m:ctrlPr>
          </m:box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box>
      </m:oMath>
      <w:r>
        <w:t xml:space="preserve">, </w:t>
      </w:r>
      <w:r>
        <w:rPr>
          <w:rFonts w:ascii="Consolas" w:hAnsi="Consolas"/>
          <w:sz w:val="17"/>
        </w:rPr>
        <w:t>bumps</w:t>
      </w:r>
      <w:r>
        <w:t xml:space="preserve"> is the summand </w:t>
      </w:r>
      <m:oMath>
        <m:box>
          <m:boxPr>
            <m:ctrlPr>
              <w:rPr>
                <w:rFonts w:ascii="Cambria Math" w:hAnsi="Cambria Math"/>
              </w:rPr>
            </m:ctrlPr>
          </m:boxPr>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e>
            </m:d>
          </m:e>
        </m:box>
      </m:oMath>
      <w:r>
        <w:t xml:space="preserve">, and </w:t>
      </w:r>
      <w:r>
        <w:rPr>
          <w:rFonts w:ascii="Consolas" w:hAnsi="Consolas"/>
          <w:sz w:val="17"/>
        </w:rPr>
        <w:t>per_comp</w:t>
      </w:r>
      <w:r>
        <w:t xml:space="preserve"> before the final sum is exactly the per-well gradient term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m:t>
            </m:r>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r>
              <w:rPr>
                <w:rFonts w:ascii="Cambria Math" w:hAnsi="Cambria Math"/>
              </w:rPr>
              <m:t>g</m:t>
            </m:r>
          </m:e>
        </m:box>
      </m:oMath>
      <w:r>
        <w:t xml:space="preserve"> derived above (the code omits the optional </w:t>
      </w:r>
      <w:r>
        <w:rPr>
          <w:rFonts w:ascii="Consolas" w:hAnsi="Consolas"/>
          <w:sz w:val="17"/>
        </w:rPr>
        <w:t>precision_max</w:t>
      </w:r>
      <w:r>
        <w:t xml:space="preserve"> and </w:t>
      </w:r>
      <w:r>
        <w:rPr>
          <w:rFonts w:ascii="Consolas" w:hAnsi="Consolas"/>
          <w:sz w:val="17"/>
        </w:rPr>
        <w:t>force_norm_max</w:t>
      </w:r>
      <w:r>
        <w:t xml:space="preserve"> clamps for brevity; both are stability safeguards, not part of the closed-form gradient itself).</w:t>
      </w:r>
    </w:p>
    <w:p w14:paraId="0287909E" w14:textId="77777777" w:rsidR="00803748" w:rsidRDefault="00803748"/>
    <w:p w14:paraId="25C3A929" w14:textId="77777777" w:rsidR="00803748" w:rsidRDefault="00000000">
      <w:pPr>
        <w:pStyle w:val="Heading3"/>
      </w:pPr>
      <w:bookmarkStart w:id="18" w:name="_Toc240119380"/>
      <w:r>
        <w:t>Anisotropic implementation: diagonal + low-rank precision</w:t>
      </w:r>
      <w:bookmarkEnd w:id="18"/>
    </w:p>
    <w:p w14:paraId="5E3D405E" w14:textId="77777777" w:rsidR="00803748" w:rsidRDefault="00803748"/>
    <w:p w14:paraId="6EDB4903" w14:textId="77777777" w:rsidR="00803748" w:rsidRDefault="00000000">
      <w:r>
        <w:t xml:space="preserve">The isotropic well’s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is diagonal, so every well is an axis-aligned ellipsoid in </w:t>
      </w:r>
      <m:oMath>
        <m:box>
          <m:boxPr>
            <m:ctrlPr>
              <w:rPr>
                <w:rFonts w:ascii="Cambria Math" w:hAnsi="Cambria Math"/>
              </w:rPr>
            </m:ctrlPr>
          </m:boxPr>
          <m:e>
            <m:r>
              <w:rPr>
                <w:rFonts w:ascii="Cambria Math" w:hAnsi="Cambria Math"/>
              </w:rPr>
              <m:t>h</m:t>
            </m:r>
          </m:e>
        </m:box>
      </m:oMath>
      <w:r>
        <w:t xml:space="preserve">-space. </w:t>
      </w:r>
      <w:r>
        <w:rPr>
          <w:rFonts w:ascii="Consolas" w:hAnsi="Consolas"/>
          <w:sz w:val="17"/>
        </w:rPr>
        <w:t>AnisotropicMixtureGaussianVTheta</w:t>
      </w:r>
      <w:r>
        <w:t xml:space="preserve"> (used in the Fock-PARFLM scale-up sweeps) replaces the diagonal precision with a diagonal-plus-low-rank correction:</w:t>
      </w:r>
    </w:p>
    <w:p w14:paraId="6D8CE362" w14:textId="77777777" w:rsidR="00803748" w:rsidRDefault="00803748"/>
    <w:p w14:paraId="50FC2B00"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r>
                <m:rPr>
                  <m:nor/>
                </m:rPr>
                <w:rPr>
                  <w:rFonts w:ascii="Cambria Math" w:hAnsi="Cambria Math"/>
                </w:rPr>
                <m:t>diag</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r>
                        <m:rPr>
                          <m:sty m:val="p"/>
                        </m:rPr>
                        <w:rPr>
                          <w:rFonts w:ascii="Cambria Math" w:hAnsi="Cambria Math"/>
                        </w:rPr>
                        <m:t>×</m:t>
                      </m:r>
                      <m:r>
                        <w:rPr>
                          <w:rFonts w:ascii="Cambria Math" w:hAnsi="Cambria Math"/>
                        </w:rPr>
                        <m:t>r</m:t>
                      </m:r>
                    </m:e>
                  </m:box>
                </m:sup>
              </m:sSup>
            </m:e>
          </m:box>
        </m:oMath>
      </m:oMathPara>
    </w:p>
    <w:p w14:paraId="750A7756" w14:textId="77777777" w:rsidR="00803748" w:rsidRDefault="00000000">
      <w:r>
        <w:t xml:space="preserve">with rank </w:t>
      </w:r>
      <m:oMath>
        <m:box>
          <m:boxPr>
            <m:ctrlPr>
              <w:rPr>
                <w:rFonts w:ascii="Cambria Math" w:hAnsi="Cambria Math"/>
              </w:rPr>
            </m:ctrlPr>
          </m:boxPr>
          <m:e>
            <m:r>
              <w:rPr>
                <w:rFonts w:ascii="Cambria Math" w:hAnsi="Cambria Math"/>
              </w:rPr>
              <m:t>r</m:t>
            </m:r>
          </m:e>
        </m:box>
      </m:oMath>
      <w:r>
        <w:t xml:space="preserve"> (</w:t>
      </w:r>
      <w:r>
        <w:rPr>
          <w:rFonts w:ascii="Consolas" w:hAnsi="Consolas"/>
          <w:sz w:val="17"/>
        </w:rPr>
        <w:t>r=4</w:t>
      </w:r>
      <w:r>
        <w:t xml:space="preserve"> by default — </w:t>
      </w:r>
      <w:r>
        <w:rPr>
          <w:rFonts w:ascii="Consolas" w:hAnsi="Consolas"/>
          <w:sz w:val="17"/>
        </w:rPr>
        <w:t>ANISO_RANK</w:t>
      </w:r>
      <w:r>
        <w:t xml:space="preserve"> in the implementation). The </w:t>
      </w:r>
      <m:oMath>
        <m:box>
          <m:boxPr>
            <m:ctrlPr>
              <w:rPr>
                <w:rFonts w:ascii="Cambria Math" w:hAnsi="Cambria Math"/>
              </w:rPr>
            </m:ctrlPr>
          </m:boxPr>
          <m:e>
            <m:sSub>
              <m:sSubPr>
                <m:ctrlPr>
                  <w:rPr>
                    <w:rFonts w:ascii="Cambria Math" w:hAnsi="Cambria Math"/>
                    <w:i/>
                  </w:rPr>
                </m:ctrlPr>
              </m:sSubPr>
              <m:e>
                <m:r>
                  <w:rPr>
                    <w:rFonts w:ascii="Cambria Math" w:hAnsi="Cambria Math"/>
                  </w:rPr>
                  <m:t>B</m:t>
                </m:r>
              </m:e>
              <m:sub>
                <m:r>
                  <w:rPr>
                    <w:rFonts w:ascii="Cambria Math" w:hAnsi="Cambria Math"/>
                  </w:rPr>
                  <m:t>k</m:t>
                </m:r>
              </m:sub>
            </m:sSub>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m:rPr>
                    <m:sty m:val="p"/>
                  </m:rPr>
                  <w:rPr>
                    <w:rFonts w:ascii="Cambria Math" w:hAnsi="Cambria Math"/>
                  </w:rPr>
                  <m:t>⊤</m:t>
                </m:r>
              </m:sup>
            </m:sSup>
          </m:e>
        </m:box>
      </m:oMath>
      <w:r>
        <w:t xml:space="preserve"> term lets each well tilt into a non-axis-aligned ellipsoid; its energy is</w:t>
      </w:r>
    </w:p>
    <w:p w14:paraId="2D91245E" w14:textId="77777777" w:rsidR="00803748" w:rsidRDefault="00803748"/>
    <w:p w14:paraId="342CE305" w14:textId="77777777" w:rsidR="00803748" w:rsidRDefault="00000000">
      <w:pPr>
        <w:spacing w:before="120" w:after="120"/>
        <w:jc w:val="cente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m:rPr>
                  <m:nor/>
                </m:rPr>
                <w:rPr>
                  <w:rFonts w:ascii="Cambria Math" w:hAnsi="Cambria Math"/>
                </w:rPr>
                <m:t>diag</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r>
                <m:rPr>
                  <m:sty m:val="p"/>
                </m:rPr>
                <w:rPr>
                  <w:rFonts w:ascii="Cambria Math" w:hAnsi="Cambria Math"/>
                </w:rPr>
                <m:t>]</m:t>
              </m:r>
            </m:e>
          </m:box>
        </m:oMath>
      </m:oMathPara>
    </w:p>
    <w:p w14:paraId="390E0B7C" w14:textId="77777777" w:rsidR="00803748" w:rsidRDefault="00000000">
      <w:r>
        <w:t xml:space="preserve">and the bounded bump potential and gradient take exactly the same form as the isotropic case, with </w:t>
      </w:r>
      <m:oMath>
        <m:box>
          <m:boxPr>
            <m:ctrlPr>
              <w:rPr>
                <w:rFonts w:ascii="Cambria Math" w:hAnsi="Cambria Math"/>
              </w:rPr>
            </m:ctrlPr>
          </m:boxPr>
          <m:e>
            <m:sSub>
              <m:sSubPr>
                <m:ctrlPr>
                  <w:rPr>
                    <w:rFonts w:ascii="Cambria Math" w:hAnsi="Cambria Math"/>
                    <w:i/>
                  </w:rPr>
                </m:ctrlPr>
              </m:sSubPr>
              <m:e>
                <m:r>
                  <w:rPr>
                    <w:rFonts w:ascii="Cambria Math" w:hAnsi="Cambria Math"/>
                  </w:rPr>
                  <m:t>E</m:t>
                </m:r>
              </m:e>
              <m:sub>
                <m:r>
                  <w:rPr>
                    <w:rFonts w:ascii="Cambria Math" w:hAnsi="Cambria Math"/>
                  </w:rPr>
                  <m:t>k</m:t>
                </m:r>
              </m:sub>
            </m:sSub>
          </m:e>
        </m:box>
      </m:oMath>
      <w:r>
        <w:t xml:space="preserve"> replaced by </w:t>
      </w:r>
      <m:oMath>
        <m:box>
          <m:boxPr>
            <m:ctrlPr>
              <w:rPr>
                <w:rFonts w:ascii="Cambria Math" w:hAnsi="Cambria Math"/>
              </w:rPr>
            </m:ctrlPr>
          </m:boxPr>
          <m:e>
            <m:sSubSup>
              <m:sSubSupPr>
                <m:ctrlPr>
                  <w:rPr>
                    <w:rFonts w:ascii="Cambria Math" w:hAnsi="Cambria Math"/>
                    <w:i/>
                  </w:rPr>
                </m:ctrlPr>
              </m:sSubSupPr>
              <m:e>
                <m:r>
                  <w:rPr>
                    <w:rFonts w:ascii="Cambria Math" w:hAnsi="Cambria Math"/>
                  </w:rPr>
                  <m:t>E</m:t>
                </m:r>
              </m:e>
              <m:sub>
                <m:r>
                  <w:rPr>
                    <w:rFonts w:ascii="Cambria Math" w:hAnsi="Cambria Math"/>
                  </w:rPr>
                  <m:t>k</m:t>
                </m:r>
              </m:sub>
              <m:sup>
                <m:r>
                  <m:rPr>
                    <m:sty m:val="p"/>
                  </m:rPr>
                  <w:rPr>
                    <w:rFonts w:ascii="Cambria Math" w:hAnsi="Cambria Math"/>
                  </w:rPr>
                  <m:t>aniso</m:t>
                </m:r>
              </m:sup>
            </m:sSubSup>
          </m:e>
        </m:box>
      </m:oMath>
      <w:r>
        <w:t>:</w:t>
      </w:r>
    </w:p>
    <w:p w14:paraId="6ADB77A0" w14:textId="77777777" w:rsidR="00803748" w:rsidRDefault="00803748"/>
    <w:p w14:paraId="00891E54" w14:textId="77777777" w:rsidR="00803748" w:rsidRDefault="00000000">
      <w:pPr>
        <w:spacing w:before="120" w:after="120"/>
        <w:jc w:val="center"/>
      </w:pPr>
      <m:oMathPara>
        <m:oMath>
          <m:box>
            <m:boxPr>
              <m:ctrlPr>
                <w:rPr>
                  <w:rFonts w:ascii="Cambria Math" w:hAnsi="Cambria Math"/>
                </w:rPr>
              </m:ctrlPr>
            </m:boxPr>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θ</m:t>
                      </m:r>
                    </m:sub>
                  </m:sSub>
                </m:e>
                <m:sup>
                  <m:r>
                    <m:rPr>
                      <m:sty m:val="p"/>
                    </m:rPr>
                    <w:rPr>
                      <w:rFonts w:ascii="Cambria Math" w:hAnsi="Cambria Math"/>
                    </w:rPr>
                    <m:t>aniso</m:t>
                  </m:r>
                </m:sup>
              </m:s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k</m:t>
                          </m:r>
                        </m:sub>
                        <m:sup>
                          <m:r>
                            <m:rPr>
                              <m:sty m:val="p"/>
                            </m:rPr>
                            <w:rPr>
                              <w:rFonts w:ascii="Cambria Math" w:hAnsi="Cambria Math"/>
                            </w:rPr>
                            <m:t>aniso</m:t>
                          </m:r>
                        </m:sup>
                      </m:sSub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d>
                </m:e>
              </m:nary>
            </m:e>
          </m:box>
        </m:oMath>
      </m:oMathPara>
    </w:p>
    <w:p w14:paraId="275D30E4"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m:oMathPara>
    </w:p>
    <w:p w14:paraId="3D297365" w14:textId="77777777" w:rsidR="00803748" w:rsidRDefault="00000000">
      <w:r>
        <w:t xml:space="preserve">The additional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term is the low-rank piece of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e>
        </m:box>
      </m:oMath>
      <w:r>
        <w:t xml:space="preserve">, hence of the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e>
        </m:box>
      </m:oMath>
      <w:r>
        <w:t xml:space="preserve">; it vanishes when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=0</m:t>
            </m:r>
          </m:e>
        </m:box>
      </m:oMath>
      <w:r>
        <w:t xml:space="preserve">, recovering the isotropic gradient above term-for-term. The force is again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V</m:t>
            </m:r>
          </m:e>
        </m:box>
      </m:oMath>
      <w:r>
        <w:t>. Implementation (colab_fock_aniso_gaussian_fockreg_tinystories.ipynb, Cell 4: “Anisotropic Gaussian V_theta”):</w:t>
      </w:r>
    </w:p>
    <w:p w14:paraId="7A3CC37D" w14:textId="77777777" w:rsidR="00803748" w:rsidRDefault="00803748"/>
    <w:p w14:paraId="08249A2F" w14:textId="77777777" w:rsidR="00803748" w:rsidRDefault="00000000">
      <w:pPr>
        <w:spacing w:after="120"/>
        <w:ind w:left="360"/>
      </w:pPr>
      <w:r>
        <w:rPr>
          <w:rFonts w:ascii="Consolas" w:hAnsi="Consolas"/>
          <w:sz w:val="17"/>
        </w:rPr>
        <w:t>def forward(self, xi, h):</w:t>
      </w:r>
      <w:r>
        <w:rPr>
          <w:rFonts w:ascii="Consolas" w:hAnsi="Consolas"/>
          <w:sz w:val="17"/>
        </w:rPr>
        <w:br/>
        <w:t xml:space="preserve">    mu, a, w, B = self._components(xi)</w:t>
      </w:r>
      <w:r>
        <w:rPr>
          <w:rFonts w:ascii="Consolas" w:hAnsi="Consolas"/>
          <w:sz w:val="17"/>
        </w:rPr>
        <w:br/>
        <w:t xml:space="preserve">    h_e = h.unsqueeze(-2)</w:t>
      </w:r>
      <w:r>
        <w:rPr>
          <w:rFonts w:ascii="Consolas" w:hAnsi="Consolas"/>
          <w:sz w:val="17"/>
        </w:rPr>
        <w:br/>
      </w:r>
      <w:r>
        <w:rPr>
          <w:rFonts w:ascii="Consolas" w:hAnsi="Consolas"/>
          <w:sz w:val="17"/>
        </w:rPr>
        <w:lastRenderedPageBreak/>
        <w:t xml:space="preserve">    diff = h_e - mu</w:t>
      </w:r>
      <w:r>
        <w:rPr>
          <w:rFonts w:ascii="Consolas" w:hAnsi="Consolas"/>
          <w:sz w:val="17"/>
        </w:rPr>
        <w:br/>
      </w:r>
      <w:r>
        <w:rPr>
          <w:rFonts w:ascii="Consolas" w:hAnsi="Consolas"/>
          <w:sz w:val="17"/>
        </w:rPr>
        <w:br/>
        <w:t xml:space="preserve">    diag_term = (a * diff * diff).sum(dim=-1)</w:t>
      </w:r>
      <w:r>
        <w:rPr>
          <w:rFonts w:ascii="Consolas" w:hAnsi="Consolas"/>
          <w:sz w:val="17"/>
        </w:rPr>
        <w:br/>
        <w:t xml:space="preserve">    Bt_diff = torch.einsum('...kd,...kdr-&gt;...kr', diff, B)</w:t>
      </w:r>
      <w:r>
        <w:rPr>
          <w:rFonts w:ascii="Consolas" w:hAnsi="Consolas"/>
          <w:sz w:val="17"/>
        </w:rPr>
        <w:br/>
        <w:t xml:space="preserve">    lr_term = (Bt_diff * Bt_diff).sum(dim=-1)</w:t>
      </w:r>
      <w:r>
        <w:rPr>
          <w:rFonts w:ascii="Consolas" w:hAnsi="Consolas"/>
          <w:sz w:val="17"/>
        </w:rPr>
        <w:br/>
      </w:r>
      <w:r>
        <w:rPr>
          <w:rFonts w:ascii="Consolas" w:hAnsi="Consolas"/>
          <w:sz w:val="17"/>
        </w:rPr>
        <w:br/>
        <w:t xml:space="preserve">    exponent = -0.5 * (diag_term + lr_term)</w:t>
      </w:r>
      <w:r>
        <w:rPr>
          <w:rFonts w:ascii="Consolas" w:hAnsi="Consolas"/>
          <w:sz w:val="17"/>
        </w:rPr>
        <w:br/>
        <w:t xml:space="preserve">    bumps = w * torch.exp(exponent)</w:t>
      </w:r>
      <w:r>
        <w:rPr>
          <w:rFonts w:ascii="Consolas" w:hAnsi="Consolas"/>
          <w:sz w:val="17"/>
        </w:rPr>
        <w:br/>
        <w:t xml:space="preserve">    return -bumps.sum(dim=-1, keepdim=True)</w:t>
      </w:r>
      <w:r>
        <w:rPr>
          <w:rFonts w:ascii="Consolas" w:hAnsi="Consolas"/>
          <w:sz w:val="17"/>
        </w:rPr>
        <w:br/>
      </w:r>
      <w:r>
        <w:rPr>
          <w:rFonts w:ascii="Consolas" w:hAnsi="Consolas"/>
          <w:sz w:val="17"/>
        </w:rPr>
        <w:br/>
        <w:t>def analytical_grad(self, xi, h):</w:t>
      </w:r>
      <w:r>
        <w:rPr>
          <w:rFonts w:ascii="Consolas" w:hAnsi="Consolas"/>
          <w:sz w:val="17"/>
        </w:rPr>
        <w:br/>
        <w:t xml:space="preserve">    mu, a, w, B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r>
      <w:r>
        <w:rPr>
          <w:rFonts w:ascii="Consolas" w:hAnsi="Consolas"/>
          <w:sz w:val="17"/>
        </w:rPr>
        <w:br/>
        <w:t xml:space="preserve">    diag_term = (a * diff * diff).sum(dim=-1)</w:t>
      </w:r>
      <w:r>
        <w:rPr>
          <w:rFonts w:ascii="Consolas" w:hAnsi="Consolas"/>
          <w:sz w:val="17"/>
        </w:rPr>
        <w:br/>
        <w:t xml:space="preserve">    Bt_diff = torch.einsum('...kd,...kdr-&gt;...kr', diff, B)</w:t>
      </w:r>
      <w:r>
        <w:rPr>
          <w:rFonts w:ascii="Consolas" w:hAnsi="Consolas"/>
          <w:sz w:val="17"/>
        </w:rPr>
        <w:br/>
        <w:t xml:space="preserve">    lr_term = (Bt_diff * Bt_diff).sum(dim=-1)</w:t>
      </w:r>
      <w:r>
        <w:rPr>
          <w:rFonts w:ascii="Consolas" w:hAnsi="Consolas"/>
          <w:sz w:val="17"/>
        </w:rPr>
        <w:br/>
      </w:r>
      <w:r>
        <w:rPr>
          <w:rFonts w:ascii="Consolas" w:hAnsi="Consolas"/>
          <w:sz w:val="17"/>
        </w:rPr>
        <w:br/>
        <w:t xml:space="preserve">    exponent = -0.5 * (diag_term + lr_term)</w:t>
      </w:r>
      <w:r>
        <w:rPr>
          <w:rFonts w:ascii="Consolas" w:hAnsi="Consolas"/>
          <w:sz w:val="17"/>
        </w:rPr>
        <w:br/>
        <w:t xml:space="preserve">    g = w * torch.exp(exponent)</w:t>
      </w:r>
      <w:r>
        <w:rPr>
          <w:rFonts w:ascii="Consolas" w:hAnsi="Consolas"/>
          <w:sz w:val="17"/>
        </w:rPr>
        <w:br/>
      </w:r>
      <w:r>
        <w:rPr>
          <w:rFonts w:ascii="Consolas" w:hAnsi="Consolas"/>
          <w:sz w:val="17"/>
        </w:rPr>
        <w:br/>
        <w:t xml:space="preserve">    grad_diag = a * diff</w:t>
      </w:r>
      <w:r>
        <w:rPr>
          <w:rFonts w:ascii="Consolas" w:hAnsi="Consolas"/>
          <w:sz w:val="17"/>
        </w:rPr>
        <w:br/>
        <w:t xml:space="preserve">    grad_lr = torch.einsum('...kdr,...kr-&gt;...kd', B, Bt_diff)</w:t>
      </w:r>
      <w:r>
        <w:rPr>
          <w:rFonts w:ascii="Consolas" w:hAnsi="Consolas"/>
          <w:sz w:val="17"/>
        </w:rPr>
        <w:br/>
        <w:t xml:space="preserve">    per_comp = (grad_diag + grad_lr) * g.unsqueeze(-1)</w:t>
      </w:r>
      <w:r>
        <w:rPr>
          <w:rFonts w:ascii="Consolas" w:hAnsi="Consolas"/>
          <w:sz w:val="17"/>
        </w:rPr>
        <w:br/>
        <w:t xml:space="preserve">    return per_comp.sum(dim=-2)</w:t>
      </w:r>
    </w:p>
    <w:p w14:paraId="7F3BB5A4" w14:textId="77777777" w:rsidR="00803748" w:rsidRDefault="00803748"/>
    <w:p w14:paraId="30B45A1A" w14:textId="51FA1E87" w:rsidR="00803748" w:rsidRDefault="00000000">
      <w:r>
        <w:t xml:space="preserve">Here </w:t>
      </w:r>
      <w:r>
        <w:rPr>
          <w:rFonts w:ascii="Consolas" w:hAnsi="Consolas"/>
        </w:rPr>
        <w:t>diag_term</w:t>
      </w:r>
      <w:r>
        <w:t xml:space="preserve"> is </w:t>
      </w:r>
      <m:oMath>
        <m:box>
          <m:boxPr>
            <m:ctrlPr>
              <w:rPr>
                <w:rFonts w:ascii="Cambria Math" w:hAnsi="Cambria Math"/>
              </w:rPr>
            </m:ctrlPr>
          </m:boxPr>
          <m:e>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box>
      </m:oMath>
      <w:r>
        <w:t xml:space="preserve">, which is </w:t>
      </w:r>
      <w:r>
        <w:rPr>
          <w:b/>
        </w:rPr>
        <w:t>twice</w:t>
      </w:r>
      <w:r>
        <w:t xml:space="preserve"> the diagonal part of </w:t>
      </w:r>
      <m:oMath>
        <m:box>
          <m:boxPr>
            <m:ctrlPr>
              <w:rPr>
                <w:rFonts w:ascii="Cambria Math" w:hAnsi="Cambria Math"/>
              </w:rPr>
            </m:ctrlPr>
          </m:boxPr>
          <m:e>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e>
        </m:box>
      </m:oMath>
      <w:r>
        <w:t xml:space="preserve"> (the factor </w:t>
      </w:r>
      <m:oMath>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box>
      </m:oMath>
      <w:r>
        <w:t xml:space="preserve"> sits in </w:t>
      </w:r>
      <w:r>
        <w:rPr>
          <w:rFonts w:ascii="Consolas" w:hAnsi="Consolas"/>
        </w:rPr>
        <w:t>exponent = -0.5 * (...)</w:t>
      </w:r>
      <w:r>
        <w:t xml:space="preserve">). </w:t>
      </w:r>
      <w:r>
        <w:rPr>
          <w:rFonts w:ascii="Consolas" w:hAnsi="Consolas"/>
        </w:rPr>
        <w:t>lr_term</w:t>
      </w:r>
      <w:r>
        <w:t xml:space="preserve"> is the Euclidean square </w:t>
      </w:r>
      <m:oMath>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nor/>
              </m:rPr>
              <w:rPr>
                <w:rFonts w:ascii="Cambria Math" w:hAnsi="Cambria Math"/>
              </w:rPr>
              <m:t>diff</m:t>
            </m:r>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e>
        </m:box>
      </m:oMath>
      <w:r>
        <w:t xml:space="preserve">, </w:t>
      </w:r>
      <w:r>
        <w:rPr>
          <w:b/>
        </w:rPr>
        <w:t>not</w:t>
      </w:r>
      <w:r>
        <w:t xml:space="preserve"> a Hadamard square of an </w:t>
      </w:r>
      <m:oMath>
        <m:box>
          <m:boxPr>
            <m:ctrlPr>
              <w:rPr>
                <w:rFonts w:ascii="Cambria Math" w:hAnsi="Cambria Math"/>
              </w:rPr>
            </m:ctrlPr>
          </m:boxPr>
          <m:e>
            <m:r>
              <w:rPr>
                <w:rFonts w:ascii="Cambria Math" w:hAnsi="Cambria Math"/>
              </w:rPr>
              <m:t>r</m:t>
            </m:r>
          </m:e>
        </m:box>
      </m:oMath>
      <w:r>
        <w:t xml:space="preserve">-vector left </w:t>
      </w:r>
      <w:r w:rsidR="00D20131">
        <w:t>unsummed and</w:t>
      </w:r>
      <w:r>
        <w:t xml:space="preserve"> is twice the low-rank part of the energy. </w:t>
      </w:r>
      <w:r>
        <w:rPr>
          <w:rFonts w:ascii="Consolas" w:hAnsi="Consolas"/>
        </w:rPr>
        <w:t>grad_lr</w:t>
      </w:r>
      <w:r>
        <w:t xml:space="preserve"> implements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nor/>
              </m:rPr>
              <w:rPr>
                <w:rFonts w:ascii="Cambria Math" w:hAnsi="Cambria Math"/>
              </w:rPr>
              <m:t>diff</m:t>
            </m:r>
            <m:r>
              <m:rPr>
                <m:sty m:val="p"/>
              </m:rPr>
              <w:rPr>
                <w:rFonts w:ascii="Cambria Math" w:hAnsi="Cambria Math"/>
              </w:rPr>
              <m:t>)</m:t>
            </m:r>
          </m:e>
        </m:box>
      </m:oMath>
      <w:r>
        <w:t xml:space="preserve">, the low-rank piece of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E</m:t>
            </m:r>
          </m:e>
        </m:box>
      </m:oMath>
      <w:r>
        <w:t xml:space="preserve"> and therefore of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V</m:t>
            </m:r>
          </m:e>
        </m:box>
      </m:oMath>
      <w:r>
        <w:t xml:space="preserve">. The base </w:t>
      </w:r>
      <w:r>
        <w:rPr>
          <w:rFonts w:ascii="Consolas" w:hAnsi="Consolas"/>
        </w:rPr>
        <w:t>_components</w:t>
      </w:r>
      <w:r>
        <w:t xml:space="preserve"> method is identical to the isotropic </w:t>
      </w:r>
      <w:proofErr w:type="spellStart"/>
      <w:r>
        <w:t>bank’s</w:t>
      </w:r>
      <w:proofErr w:type="spellEnd"/>
      <w:r>
        <w:t xml:space="preserve">, extended with one more learned projection, </w:t>
      </w:r>
      <w:r>
        <w:rPr>
          <w:rFonts w:ascii="Consolas" w:hAnsi="Consolas"/>
        </w:rPr>
        <w:t>B_proj</w:t>
      </w:r>
      <w:r>
        <w:t xml:space="preserve">: in_d → K × d × r, that produces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w:t>
      </w:r>
    </w:p>
    <w:p w14:paraId="11F1654D" w14:textId="77777777" w:rsidR="00803748" w:rsidRDefault="00803748"/>
    <w:p w14:paraId="74C7E3E1" w14:textId="77777777" w:rsidR="00803748" w:rsidRDefault="00000000">
      <w:pPr>
        <w:pStyle w:val="Heading3"/>
      </w:pPr>
      <w:bookmarkStart w:id="19" w:name="_Toc240119381"/>
      <w:r>
        <w:t>Empirical comparison</w:t>
      </w:r>
      <w:bookmarkEnd w:id="19"/>
    </w:p>
    <w:p w14:paraId="337E35AF" w14:textId="77777777" w:rsidR="00803748" w:rsidRDefault="00803748"/>
    <w:p w14:paraId="0BDE59A9" w14:textId="77777777" w:rsidR="00803748" w:rsidRDefault="00000000">
      <w:r>
        <w:t>On a controlled TinyStories run (</w:t>
      </w:r>
      <m:oMath>
        <m:box>
          <m:boxPr>
            <m:ctrlPr>
              <w:rPr>
                <w:rFonts w:ascii="Cambria Math" w:hAnsi="Cambria Math"/>
              </w:rPr>
            </m:ctrlPr>
          </m:boxPr>
          <m:e>
            <m:r>
              <w:rPr>
                <w:rFonts w:ascii="Cambria Math" w:hAnsi="Cambria Math"/>
              </w:rPr>
              <m:t>d</m:t>
            </m:r>
            <m:r>
              <m:rPr>
                <m:sty m:val="p"/>
              </m:rPr>
              <w:rPr>
                <w:rFonts w:ascii="Cambria Math" w:hAnsi="Cambria Math"/>
              </w:rPr>
              <m:t>=</m:t>
            </m:r>
            <m:r>
              <w:rPr>
                <w:rFonts w:ascii="Cambria Math" w:hAnsi="Cambria Math"/>
              </w:rPr>
              <m:t>256</m:t>
            </m:r>
          </m:e>
        </m:box>
      </m:oMath>
      <w:r>
        <w:t xml:space="preserve">, identical routing, gradient clipping, </w:t>
      </w:r>
      <m:oMath>
        <m:box>
          <m:boxPr>
            <m:ctrlPr>
              <w:rPr>
                <w:rFonts w:ascii="Cambria Math" w:hAnsi="Cambria Math"/>
              </w:rPr>
            </m:ctrlPr>
          </m:boxPr>
          <m:e>
            <m:r>
              <w:rPr>
                <w:rFonts w:ascii="Cambria Math" w:hAnsi="Cambria Math"/>
              </w:rPr>
              <m:t>γ</m:t>
            </m:r>
            <m:r>
              <m:rPr>
                <m:sty m:val="p"/>
              </m:rPr>
              <w:rPr>
                <w:rFonts w:ascii="Cambria Math" w:hAnsi="Cambria Math"/>
              </w:rPr>
              <m:t>=</m:t>
            </m:r>
            <m:r>
              <w:rPr>
                <w:rFonts w:ascii="Cambria Math" w:hAnsi="Cambria Math"/>
              </w:rPr>
              <m:t>0.3</m:t>
            </m:r>
          </m:e>
        </m:box>
      </m:oMath>
      <w:r>
        <w:t xml:space="preserve">, WSD schedule, same seed), the isotropic Gaussian </w:t>
      </w:r>
      <w:r>
        <w:rPr>
          <w:rFonts w:ascii="Consolas" w:hAnsi="Consolas"/>
          <w:sz w:val="17"/>
        </w:rPr>
        <w:t>V_theta</w:t>
      </w:r>
      <w:r>
        <w:t xml:space="preserve"> trails the unconstrained MLP baseline, but the anisotropic variant with Fock coupling regularisation closes that gap and reverses it:</w:t>
      </w:r>
    </w:p>
    <w:p w14:paraId="6C226F20" w14:textId="77777777" w:rsidR="00803748" w:rsidRDefault="00803748"/>
    <w:tbl>
      <w:tblPr>
        <w:tblStyle w:val="TableGrid"/>
        <w:tblW w:w="0" w:type="auto"/>
        <w:tblLook w:val="04A0" w:firstRow="1" w:lastRow="0" w:firstColumn="1" w:lastColumn="0" w:noHBand="0" w:noVBand="1"/>
      </w:tblPr>
      <w:tblGrid>
        <w:gridCol w:w="3118"/>
        <w:gridCol w:w="3116"/>
        <w:gridCol w:w="3116"/>
      </w:tblGrid>
      <w:tr w:rsidR="00803748" w14:paraId="2476B61E" w14:textId="77777777">
        <w:tc>
          <w:tcPr>
            <w:tcW w:w="3120" w:type="dxa"/>
          </w:tcPr>
          <w:p w14:paraId="000E0A73" w14:textId="77777777" w:rsidR="00803748" w:rsidRDefault="00000000">
            <w:r>
              <w:rPr>
                <w:b/>
              </w:rPr>
              <w:t>V_theta variant</w:t>
            </w:r>
          </w:p>
        </w:tc>
        <w:tc>
          <w:tcPr>
            <w:tcW w:w="3120" w:type="dxa"/>
          </w:tcPr>
          <w:p w14:paraId="35B39FF1" w14:textId="77777777" w:rsidR="00803748" w:rsidRDefault="00000000">
            <w:r>
              <w:rPr>
                <w:b/>
              </w:rPr>
              <w:t>Best val PPL</w:t>
            </w:r>
          </w:p>
        </w:tc>
        <w:tc>
          <w:tcPr>
            <w:tcW w:w="3120" w:type="dxa"/>
          </w:tcPr>
          <w:p w14:paraId="470BA2F0" w14:textId="77777777" w:rsidR="00803748" w:rsidRDefault="00000000">
            <w:r>
              <w:rPr>
                <w:b/>
              </w:rPr>
              <w:t>Notes</w:t>
            </w:r>
          </w:p>
        </w:tc>
      </w:tr>
      <w:tr w:rsidR="00803748" w14:paraId="056522E6" w14:textId="77777777">
        <w:tc>
          <w:tcPr>
            <w:tcW w:w="3120" w:type="dxa"/>
          </w:tcPr>
          <w:p w14:paraId="79356A12" w14:textId="77777777" w:rsidR="00803748" w:rsidRDefault="00000000">
            <w:r>
              <w:t>MLP (ScalarPotentialMultiXi)</w:t>
            </w:r>
          </w:p>
        </w:tc>
        <w:tc>
          <w:tcPr>
            <w:tcW w:w="3120" w:type="dxa"/>
          </w:tcPr>
          <w:p w14:paraId="11333831" w14:textId="77777777" w:rsidR="00803748" w:rsidRDefault="00000000">
            <w:r>
              <w:t>9.70</w:t>
            </w:r>
          </w:p>
        </w:tc>
        <w:tc>
          <w:tcPr>
            <w:tcW w:w="3120" w:type="dxa"/>
          </w:tcPr>
          <w:p w14:paraId="74FF68D1" w14:textId="77777777" w:rsidR="00803748" w:rsidRDefault="00000000">
            <w:r>
              <w:t>Unconstrained; unbounded force</w:t>
            </w:r>
          </w:p>
        </w:tc>
      </w:tr>
      <w:tr w:rsidR="00803748" w14:paraId="298458D0" w14:textId="77777777">
        <w:tc>
          <w:tcPr>
            <w:tcW w:w="3120" w:type="dxa"/>
          </w:tcPr>
          <w:p w14:paraId="13F88688" w14:textId="77777777" w:rsidR="00803748" w:rsidRDefault="00000000">
            <w:r>
              <w:t>Isotropic Gaussian (MixtureGaussianVTheta)</w:t>
            </w:r>
          </w:p>
        </w:tc>
        <w:tc>
          <w:tcPr>
            <w:tcW w:w="3120" w:type="dxa"/>
          </w:tcPr>
          <w:p w14:paraId="404DD2FE" w14:textId="77777777" w:rsidR="00803748" w:rsidRDefault="00000000">
            <w:r>
              <w:t>~13 (projected)</w:t>
            </w:r>
          </w:p>
        </w:tc>
        <w:tc>
          <w:tcPr>
            <w:tcW w:w="3120" w:type="dxa"/>
          </w:tcPr>
          <w:p w14:paraId="04A42DF9" w14:textId="77777777" w:rsidR="00803748" w:rsidRDefault="00000000">
            <w:r>
              <w:t>Diagonal precision; bounded force</w:t>
            </w:r>
          </w:p>
        </w:tc>
      </w:tr>
      <w:tr w:rsidR="00803748" w14:paraId="579A1199" w14:textId="77777777">
        <w:tc>
          <w:tcPr>
            <w:tcW w:w="3120" w:type="dxa"/>
          </w:tcPr>
          <w:p w14:paraId="554FF59C" w14:textId="77777777" w:rsidR="00803748" w:rsidRDefault="00000000">
            <w:r>
              <w:t>Anisotropic Gaussian + Fock-reg</w:t>
            </w:r>
          </w:p>
        </w:tc>
        <w:tc>
          <w:tcPr>
            <w:tcW w:w="3120" w:type="dxa"/>
          </w:tcPr>
          <w:p w14:paraId="778E3789" w14:textId="77777777" w:rsidR="00803748" w:rsidRDefault="00000000">
            <w:r>
              <w:t>9.14</w:t>
            </w:r>
          </w:p>
        </w:tc>
        <w:tc>
          <w:tcPr>
            <w:tcW w:w="3120" w:type="dxa"/>
          </w:tcPr>
          <w:p w14:paraId="25F5891E" w14:textId="77777777" w:rsidR="00803748" w:rsidRDefault="00000000">
            <w:r>
              <w:t>Diagonal + rank-4 precision; bounded force</w:t>
            </w:r>
          </w:p>
        </w:tc>
      </w:tr>
    </w:tbl>
    <w:p w14:paraId="4CA20248" w14:textId="77777777" w:rsidR="00803748" w:rsidRDefault="00803748"/>
    <w:p w14:paraId="7E3E6CFA" w14:textId="77777777" w:rsidR="00803748" w:rsidRDefault="00000000">
      <w:r>
        <w:t xml:space="preserve">The anisotropic well recovers the directional structure (ridges and saddles between wells) that the purely diagonal, axis-aligned isotropic well cannot represent, while retaining the same closed-form gradient, bounded force, and Lipschitz regularity the isotropic variant was introduced for — the properties the CfC propagator, BAOAB integrator, and Langevin O-step upgrades all require. The structural constraint of a Gaussian </w:t>
      </w:r>
      <w:r>
        <w:rPr>
          <w:rFonts w:ascii="Consolas" w:hAnsi="Consolas"/>
          <w:sz w:val="17"/>
        </w:rPr>
        <w:t>V_theta</w:t>
      </w:r>
      <w:r>
        <w:t xml:space="preserve"> is therefore not a strictly weaker choice than the unconstrained MLP: with sufficient force-landscape complexity (anisotropy) and the Fock </w:t>
      </w:r>
      <w:r>
        <w:lastRenderedPageBreak/>
        <w:t>coupling regulariser that keeps the mechanism engaged, it is the stronger model on raw perplexity as well as the only one compatible with the closed-form integrator upgrades.</w:t>
      </w:r>
    </w:p>
    <w:p w14:paraId="3BE7B772" w14:textId="77777777" w:rsidR="001E368C" w:rsidRDefault="001E368C">
      <w:r>
        <w:t>The isotropic and anisotropic well designs above generalise along two independent axes that the remainder of this section develops in turn: how much curvature budget an individual well should be given (rank selection), and how the well should read a context built from more than one timescale (multi-channel and depth-conditioned context banks).</w:t>
      </w:r>
    </w:p>
    <w:p w14:paraId="4375575F" w14:textId="77777777" w:rsidR="00E56717" w:rsidRDefault="00000000">
      <w:pPr>
        <w:pStyle w:val="Heading2"/>
      </w:pPr>
      <w:bookmarkStart w:id="20" w:name="_Toc240119382"/>
      <w:r>
        <w:t>Curvature Diagnostics and Rank Selection for the Anisotropic Well</w:t>
      </w:r>
      <w:bookmarkEnd w:id="20"/>
    </w:p>
    <w:p w14:paraId="07A5B1E1" w14:textId="77777777" w:rsidR="00E56717" w:rsidRDefault="00000000">
      <w:r>
        <w:t xml:space="preserve">The anisotropic precision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=diag(</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introduced above splits the well’s curvature into two channels that are qualitatively different objects, and — critically — that the CfC-BAOAB integrator treats differently. Expanding the quadratic form makes the split explicit:</w:t>
      </w:r>
    </w:p>
    <w:p w14:paraId="7AA5BA75" w14:textId="77777777" w:rsidR="00E56717" w:rsidRDefault="00000000">
      <m:oMathPara>
        <m:oMathParaPr>
          <m:jc m:val="center"/>
        </m:oMathParaPr>
        <m:oMath>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d>
            </m:e>
            <m:sup>
              <m:r>
                <w:rPr>
                  <w:rFonts w:ascii="Cambria Math" w:hAnsi="Cambria Math"/>
                </w:rPr>
                <m:t>2</m:t>
              </m:r>
            </m:sup>
          </m:sSup>
          <m:r>
            <m:rPr>
              <m:sty m:val="p"/>
            </m:rPr>
            <w:rPr>
              <w:rFonts w:ascii="Cambria Math" w:hAnsi="Cambria Math"/>
            </w:rPr>
            <m:t>.</m:t>
          </m:r>
        </m:oMath>
      </m:oMathPara>
    </w:p>
    <w:p w14:paraId="42EF23C6" w14:textId="77777777" w:rsidR="00E56717" w:rsidRDefault="00000000">
      <w:r>
        <w:t xml:space="preserve">The diagonal term is axis-aligned and is integrated exactly by the closed-form harmonic propagator; the low-rank term is oblique and enters the integrator as an explicit kick, which is stable only while </w:t>
      </w:r>
      <m:oMath>
        <m:r>
          <w:rPr>
            <w:rFonts w:ascii="Cambria Math" w:hAnsi="Cambria Math"/>
          </w:rPr>
          <m:t>ω</m:t>
        </m:r>
        <m:r>
          <m:rPr>
            <m:sty m:val="p"/>
          </m:rPr>
          <w:rPr>
            <w:rFonts w:ascii="Cambria Math" w:hAnsi="Cambria Math"/>
          </w:rPr>
          <m:t>Δ</m:t>
        </m:r>
        <m:r>
          <w:rPr>
            <w:rFonts w:ascii="Cambria Math" w:hAnsi="Cambria Math"/>
          </w:rPr>
          <m:t>t</m:t>
        </m:r>
        <m:r>
          <m:rPr>
            <m:sty m:val="p"/>
          </m:rPr>
          <w:rPr>
            <w:rFonts w:ascii="Cambria Math" w:hAnsi="Cambria Math"/>
          </w:rPr>
          <m:t>&lt;</m:t>
        </m:r>
        <m:r>
          <w:rPr>
            <w:rFonts w:ascii="Cambria Math" w:hAnsi="Cambria Math"/>
          </w:rPr>
          <m:t>2</m:t>
        </m:r>
      </m:oMath>
      <w:r>
        <w:t xml:space="preserve"> for the effective frequency </w:t>
      </w:r>
      <m:oMath>
        <m:r>
          <w:rPr>
            <w:rFonts w:ascii="Cambria Math" w:hAnsi="Cambria Math"/>
          </w:rPr>
          <m:t>ω</m:t>
        </m:r>
      </m:oMath>
      <w:r>
        <w:t xml:space="preserve"> it induces. In deployed scale-up runs this asymmetry is large: the diagonal precision is capped at </w:t>
      </w:r>
      <m:oMath>
        <m:r>
          <w:rPr>
            <w:rFonts w:ascii="Cambria Math" w:hAnsi="Cambria Math"/>
          </w:rPr>
          <m:t>2</m:t>
        </m:r>
        <m:r>
          <m:rPr>
            <m:sty m:val="p"/>
          </m:rPr>
          <w:rPr>
            <w:rFonts w:ascii="Cambria Math" w:hAnsi="Cambria Math"/>
          </w:rPr>
          <m:t>/</m:t>
        </m:r>
        <m:r>
          <w:rPr>
            <w:rFonts w:ascii="Cambria Math" w:hAnsi="Cambria Math"/>
          </w:rPr>
          <m:t>d</m:t>
        </m:r>
      </m:oMath>
      <w:r>
        <w:t xml:space="preserve"> (a stability constraint inherited from an earlier, unconditionally-Verlet integrator, and no longer load-bearing now that the diagonal channel is integrated exactly), while the low-rank channel is capped independently by a separate budget, precision_lr_max, and in practice carries essentially the entire exponent. The scalar that actually controls the well’s sharpness and the integrator’s stability margin is therefore not the nominal rank </w:t>
      </w:r>
      <m:oMath>
        <m:r>
          <w:rPr>
            <w:rFonts w:ascii="Cambria Math" w:hAnsi="Cambria Math"/>
          </w:rPr>
          <m:t>r</m:t>
        </m:r>
      </m:oMath>
      <w:r>
        <w:t xml:space="preserve"> but the top squared singular value of the low-rank factor,</w:t>
      </w:r>
    </w:p>
    <w:p w14:paraId="6B3C33C6" w14:textId="77777777" w:rsidR="00E56717" w:rsidRDefault="00000000">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up>
              <m:r>
                <w:rPr>
                  <w:rFonts w:ascii="Cambria Math" w:hAnsi="Cambria Math"/>
                </w:rPr>
                <m:t>2</m:t>
              </m:r>
            </m:sup>
          </m:sSubSup>
          <m:r>
            <m:rPr>
              <m:sty m:val="p"/>
            </m:rPr>
            <w:rPr>
              <w:rFonts w:ascii="Cambria Math" w:hAnsi="Cambria Math"/>
            </w:rPr>
            <m:t>=tr(</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m:oMathPara>
    </w:p>
    <w:p w14:paraId="7F9B32C1" w14:textId="77777777" w:rsidR="00E56717" w:rsidRDefault="00000000">
      <w:r>
        <w:t xml:space="preserve">Along the sharpest direction the peak force scales as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s</m:t>
                </m:r>
              </m:e>
              <m:sub>
                <m:r>
                  <w:rPr>
                    <w:rFonts w:ascii="Cambria Math" w:hAnsi="Cambria Math"/>
                  </w:rPr>
                  <m:t>k</m:t>
                </m:r>
              </m:sub>
            </m:sSub>
          </m:e>
        </m:rad>
      </m:oMath>
      <w:r>
        <w:t xml:space="preserve"> and the worst-case parameter gradient scales as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itself, which is why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 not the rank that bounds it — is the quantity worth measuring and bounding directly.</w:t>
      </w:r>
    </w:p>
    <w:p w14:paraId="7FF711D1" w14:textId="77777777" w:rsidR="00E56717" w:rsidRDefault="00000000">
      <w:pPr>
        <w:pStyle w:val="Heading3"/>
      </w:pPr>
      <w:bookmarkStart w:id="21" w:name="_Toc240119383"/>
      <w:r>
        <w:t>Effective rank as a measurement: the participation ratio</w:t>
      </w:r>
      <w:bookmarkEnd w:id="21"/>
    </w:p>
    <w:p w14:paraId="44737AEF" w14:textId="77777777" w:rsidR="00E56717" w:rsidRDefault="00000000">
      <w:r>
        <w:t xml:space="preserve">Rank </w:t>
      </w:r>
      <m:oMath>
        <m:r>
          <w:rPr>
            <w:rFonts w:ascii="Cambria Math" w:hAnsi="Cambria Math"/>
          </w:rPr>
          <m:t>r</m:t>
        </m:r>
      </m:oMath>
      <w:r>
        <w:t xml:space="preserve"> is a design choice — how many columns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is allowed — but it says nothing about how the well actually spends that budget. For a factor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with descending singular values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the </w:t>
      </w:r>
      <w:r>
        <w:rPr>
          <w:i/>
          <w:iCs/>
        </w:rPr>
        <w:t>participation ratio</w:t>
      </w:r>
    </w:p>
    <w:p w14:paraId="1D3FEDFB" w14:textId="77777777" w:rsidR="00E56717" w:rsidRDefault="00000000">
      <m:oMathPara>
        <m:oMathParaPr>
          <m:jc m:val="center"/>
        </m:oMathParaPr>
        <m:oMath>
          <m:r>
            <m:rPr>
              <m:sty m:val="p"/>
            </m:rPr>
            <w:rPr>
              <w:rFonts w:ascii="Cambria Math" w:hAnsi="Cambria Math"/>
            </w:rPr>
            <m:t>PR(</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e>
              </m:nary>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4</m:t>
                      </m:r>
                    </m:sup>
                  </m:sSubSup>
                </m:e>
              </m:nary>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m:oMathPara>
    </w:p>
    <w:p w14:paraId="389970C7" w14:textId="77777777" w:rsidR="00E56717" w:rsidRDefault="00000000">
      <w:r>
        <w:t xml:space="preserve">is the standard effective-rank statistic — the inverse participation ratio of the normalised eigenvalue distribution of </w:t>
      </w:r>
      <m:oMath>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 with exactly the two limits the rank question needs: </w:t>
      </w:r>
      <m:oMath>
        <m:r>
          <m:rPr>
            <m:sty m:val="p"/>
          </m:rPr>
          <w:rPr>
            <w:rFonts w:ascii="Cambria Math" w:hAnsi="Cambria Math"/>
          </w:rPr>
          <m:t>PR=</m:t>
        </m:r>
        <m:r>
          <w:rPr>
            <w:rFonts w:ascii="Cambria Math" w:hAnsi="Cambria Math"/>
          </w:rPr>
          <m:t>1</m:t>
        </m:r>
      </m:oMath>
      <w:r>
        <w:t xml:space="preserve"> when the whole budget sits in one direction, </w:t>
      </w:r>
      <m:oMath>
        <m:r>
          <m:rPr>
            <m:sty m:val="p"/>
          </m:rPr>
          <w:rPr>
            <w:rFonts w:ascii="Cambria Math" w:hAnsi="Cambria Math"/>
          </w:rPr>
          <m:t>PR=</m:t>
        </m:r>
        <m:r>
          <w:rPr>
            <w:rFonts w:ascii="Cambria Math" w:hAnsi="Cambria Math"/>
          </w:rPr>
          <m:t>r</m:t>
        </m:r>
      </m:oMath>
      <w:r>
        <w:t xml:space="preserve"> when the spectrum is flat. Measured against a rank </w:t>
      </w:r>
      <m:oMath>
        <m:r>
          <w:rPr>
            <w:rFonts w:ascii="Cambria Math" w:hAnsi="Cambria Math"/>
          </w:rPr>
          <m:t>r</m:t>
        </m:r>
      </m:oMath>
      <w:r>
        <w:t xml:space="preserve">, the reading is: </w:t>
      </w:r>
      <m:oMath>
        <m:r>
          <m:rPr>
            <m:sty m:val="p"/>
          </m:rPr>
          <w:rPr>
            <w:rFonts w:ascii="Cambria Math" w:hAnsi="Cambria Math"/>
          </w:rPr>
          <m:t>PR≥</m:t>
        </m:r>
        <m:r>
          <w:rPr>
            <w:rFonts w:ascii="Cambria Math" w:hAnsi="Cambria Math"/>
          </w:rPr>
          <m:t>0.75r</m:t>
        </m:r>
      </m:oMath>
      <w:r>
        <w:t xml:space="preserve"> means the budget is saturated and a higher rank has a genuine case; </w:t>
      </w:r>
      <m:oMath>
        <m:r>
          <m:rPr>
            <m:sty m:val="p"/>
          </m:rPr>
          <w:rPr>
            <w:rFonts w:ascii="Cambria Math" w:hAnsi="Cambria Math"/>
          </w:rPr>
          <m:t>PR≤</m:t>
        </m:r>
        <m:r>
          <w:rPr>
            <w:rFonts w:ascii="Cambria Math" w:hAnsi="Cambria Math"/>
          </w:rPr>
          <m:t>0.5r</m:t>
        </m:r>
      </m:oMath>
      <w:r>
        <w:t xml:space="preserve"> means the budget is not being used and the extra rank is idle parameters; the band between is ambiguous and should be weighed against the cost analysis below.</w:t>
      </w:r>
    </w:p>
    <w:p w14:paraId="71885DC7" w14:textId="77777777" w:rsidR="00E56717" w:rsidRDefault="00000000">
      <w:r>
        <w:t xml:space="preserve">A second, independent use of the same statistic follows directly from the cap. Under a binding Frobenius cap, </w:t>
      </w:r>
      <m:oMath>
        <m:sSubSup>
          <m:sSubSupPr>
            <m:ctrlPr>
              <w:rPr>
                <w:rFonts w:ascii="Cambria Math" w:hAnsi="Cambria Math"/>
              </w:rPr>
            </m:ctrlPr>
          </m:sSubSupPr>
          <m:e>
            <m:r>
              <w:rPr>
                <w:rFonts w:ascii="Cambria Math" w:hAnsi="Cambria Math"/>
              </w:rPr>
              <m:t>σ</m:t>
            </m:r>
          </m:e>
          <m:sub>
            <m:r>
              <m:rPr>
                <m:sty m:val="p"/>
              </m:rPr>
              <w:rPr>
                <w:rFonts w:ascii="Cambria Math" w:hAnsi="Cambria Math"/>
              </w:rPr>
              <m:t>max</m:t>
            </m:r>
          </m:sub>
          <m:sup>
            <m:r>
              <w:rPr>
                <w:rFonts w:ascii="Cambria Math" w:hAnsi="Cambria Math"/>
              </w:rPr>
              <m:t>2</m:t>
            </m:r>
          </m:sup>
        </m:sSubSup>
      </m:oMath>
      <w:r>
        <w:t xml:space="preserve"> can only grow by </w:t>
      </w:r>
      <w:r>
        <w:rPr>
          <w:i/>
          <w:iCs/>
        </w:rPr>
        <w:t>concentration</w:t>
      </w:r>
      <w:r>
        <w:t xml:space="preserve"> — by the well moving mass from many directions into one. Since spike magnitude scales as </w:t>
      </w:r>
      <m:oMath>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this predicts that a curvature-led gradient spike may literally be a moment of spectral collapse: comparing the participation-ratio spectrum at a healthy checkpoint against the spectrum at a spike checkpoint tests that directly, with the same statistic and no additional machinery.</w:t>
      </w:r>
    </w:p>
    <w:p w14:paraId="1782932E" w14:textId="77777777" w:rsidR="00E56717" w:rsidRDefault="00000000">
      <w:pPr>
        <w:pStyle w:val="Heading3"/>
      </w:pPr>
      <w:bookmarkStart w:id="22" w:name="_Toc240119384"/>
      <w:r>
        <w:t>Rank under a binding cap: redistribution, not addition</w:t>
      </w:r>
      <w:bookmarkEnd w:id="22"/>
    </w:p>
    <w:p w14:paraId="0755172B" w14:textId="77777777" w:rsidR="00E56717" w:rsidRDefault="00000000">
      <w:r>
        <w:t xml:space="preserve">The bounded low-rank factor used in production caps the Frobenius norm with a </w:t>
      </w:r>
      <m:oMath>
        <m:r>
          <m:rPr>
            <m:sty m:val="p"/>
          </m:rPr>
          <w:rPr>
            <w:rFonts w:ascii="Cambria Math" w:hAnsi="Cambria Math"/>
          </w:rPr>
          <m:t>tanh</m:t>
        </m:r>
      </m:oMath>
      <w:r>
        <w:t xml:space="preserve"> squash, </w:t>
      </w:r>
      <m:oMath>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tanh</m:t>
        </m:r>
        <m:r>
          <w:rPr>
            <w:rFonts w:ascii="Cambria Math" w:hAnsi="Cambria Math"/>
          </w:rPr>
          <m:t>​</m:t>
        </m:r>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raw</m:t>
                        </m:r>
                      </m:sup>
                    </m:sSubSup>
                  </m:e>
                </m:d>
              </m:e>
              <m:sub>
                <m:r>
                  <w:rPr>
                    <w:rFonts w:ascii="Cambria Math" w:hAnsi="Cambria Math"/>
                  </w:rPr>
                  <m:t>F</m:t>
                </m:r>
              </m:sub>
            </m:sSub>
            <m:r>
              <m:rPr>
                <m:sty m:val="p"/>
              </m:rPr>
              <w:rPr>
                <w:rFonts w:ascii="Cambria Math" w:hAnsi="Cambria Math"/>
              </w:rPr>
              <m:t>/</m:t>
            </m:r>
            <m:r>
              <w:rPr>
                <w:rFonts w:ascii="Cambria Math" w:hAnsi="Cambria Math"/>
              </w:rPr>
              <m:t>b</m:t>
            </m:r>
          </m:e>
        </m:d>
      </m:oMath>
      <w:r>
        <w:t xml:space="preserve">, where </w:t>
      </w:r>
      <m:oMath>
        <m:r>
          <w:rPr>
            <w:rFonts w:ascii="Cambria Math" w:hAnsi="Cambria Math"/>
          </w:rPr>
          <m:t>b</m:t>
        </m:r>
        <m:r>
          <m:rPr>
            <m:sty m:val="p"/>
          </m:rPr>
          <w:rPr>
            <w:rFonts w:ascii="Cambria Math" w:hAnsi="Cambria Math"/>
          </w:rPr>
          <m:t>=</m:t>
        </m:r>
        <m:rad>
          <m:radPr>
            <m:degHide m:val="1"/>
            <m:ctrlPr>
              <w:rPr>
                <w:rFonts w:ascii="Cambria Math" w:hAnsi="Cambria Math"/>
              </w:rPr>
            </m:ctrlPr>
          </m:radPr>
          <m:deg/>
          <m:e>
            <m:r>
              <m:rPr>
                <m:nor/>
              </m:rPr>
              <m:t>precision_lr_max</m:t>
            </m:r>
          </m:e>
        </m:rad>
      </m:oMath>
      <w:r>
        <w:t xml:space="preserve">. Once the cap saturates — which it does whenever the raw, uncapped norm is well above </w:t>
      </w:r>
      <m:oMath>
        <m:r>
          <w:rPr>
            <w:rFonts w:ascii="Cambria Math" w:hAnsi="Cambria Math"/>
          </w:rPr>
          <m:t>b</m:t>
        </m:r>
      </m:oMath>
      <w:r>
        <w:t xml:space="preserve"> — the total curvature </w:t>
      </w: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e>
        </m:nary>
      </m:oMath>
      <w:r>
        <w:t xml:space="preserve"> is pinned at </w:t>
      </w:r>
      <m:oMath>
        <m:sSup>
          <m:sSupPr>
            <m:ctrlPr>
              <w:rPr>
                <w:rFonts w:ascii="Cambria Math" w:hAnsi="Cambria Math"/>
              </w:rPr>
            </m:ctrlPr>
          </m:sSupPr>
          <m:e>
            <m:r>
              <w:rPr>
                <w:rFonts w:ascii="Cambria Math" w:hAnsi="Cambria Math"/>
              </w:rPr>
              <m:t>b</m:t>
            </m:r>
          </m:e>
          <m:sup>
            <m:r>
              <w:rPr>
                <w:rFonts w:ascii="Cambria Math" w:hAnsi="Cambria Math"/>
              </w:rPr>
              <m:t>2</m:t>
            </m:r>
          </m:sup>
        </m:sSup>
      </m:oMath>
      <w:r>
        <w:t xml:space="preserve"> </w:t>
      </w:r>
      <w:r>
        <w:rPr>
          <w:i/>
          <w:iCs/>
        </w:rPr>
        <w:t>regardless of rank</w:t>
      </w:r>
      <w:r>
        <w:t xml:space="preserve">. Increasing </w:t>
      </w:r>
      <m:oMath>
        <m:r>
          <w:rPr>
            <w:rFonts w:ascii="Cambria Math" w:hAnsi="Cambria Math"/>
          </w:rPr>
          <m:t>r</m:t>
        </m:r>
      </m:oMath>
      <w:r>
        <w:t xml:space="preserve"> does not add curvature; it changes only the range of distributions the fixed budget can take:</w:t>
      </w:r>
    </w:p>
    <w:p w14:paraId="66667CB9" w14:textId="77777777" w:rsidR="00E56717" w:rsidRDefault="00000000">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b</m:t>
                  </m:r>
                </m:e>
                <m:sup>
                  <m:r>
                    <w:rPr>
                      <w:rFonts w:ascii="Cambria Math" w:hAnsi="Cambria Math"/>
                    </w:rPr>
                    <m:t>2</m:t>
                  </m:r>
                </m:sup>
              </m:sSup>
            </m:num>
            <m:den>
              <m:r>
                <w:rPr>
                  <w:rFonts w:ascii="Cambria Math" w:hAnsi="Cambria Math"/>
                </w:rPr>
                <m:t>r</m:t>
              </m:r>
            </m:den>
          </m:f>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m:rPr>
              <m:sty m:val="p"/>
            </m:rPr>
            <w:rPr>
              <w:rFonts w:ascii="Cambria Math" w:hAnsi="Cambria Math"/>
            </w:rPr>
            <m:t>,</m:t>
          </m:r>
        </m:oMath>
      </m:oMathPara>
    </w:p>
    <w:p w14:paraId="04CBB694" w14:textId="77777777" w:rsidR="00E56717" w:rsidRDefault="00000000">
      <w:r>
        <w:t xml:space="preserve">with the lower bound attained by a perfectly flat spectrum and the upper bound by a fully degenerate one. This produces a genuinely counterintuitive consequence, and it is the reason rank is worth measuring rather than </w:t>
      </w:r>
      <w:r>
        <w:lastRenderedPageBreak/>
        <w:t xml:space="preserve">assumed: under a binding cap, </w:t>
      </w:r>
      <w:r>
        <w:rPr>
          <w:b/>
          <w:bCs/>
        </w:rPr>
        <w:t>higher rank can make the well safer, not more dangerous</w:t>
      </w:r>
      <w:r>
        <w:t xml:space="preserve"> — but only if the learned spectrum actually spreads across the available directions. Doubling the rank from 4 to 8 with a flat spectrum halves </w:t>
      </w:r>
      <m:oMath>
        <m:sSubSup>
          <m:sSubSupPr>
            <m:ctrlPr>
              <w:rPr>
                <w:rFonts w:ascii="Cambria Math" w:hAnsi="Cambria Math"/>
              </w:rPr>
            </m:ctrlPr>
          </m:sSubSupPr>
          <m:e>
            <m:r>
              <w:rPr>
                <w:rFonts w:ascii="Cambria Math" w:hAnsi="Cambria Math"/>
              </w:rPr>
              <m:t>σ</m:t>
            </m:r>
          </m:e>
          <m:sub>
            <m:r>
              <m:rPr>
                <m:sty m:val="p"/>
              </m:rPr>
              <w:rPr>
                <w:rFonts w:ascii="Cambria Math" w:hAnsi="Cambria Math"/>
              </w:rPr>
              <m:t>max</m:t>
            </m:r>
          </m:sub>
          <m:sup>
            <m:r>
              <w:rPr>
                <w:rFonts w:ascii="Cambria Math" w:hAnsi="Cambria Math"/>
              </w:rPr>
              <m:t>2</m:t>
            </m:r>
          </m:sup>
        </m:sSubSup>
      </m:oMath>
      <w:r>
        <w:t xml:space="preserve"> at identical total curvature; if instead the well drives its whole budget into a single direction, rank 8 is indistinguishable from rank 4 — or from rank 1 — on this axis, and the extra parameters buy nothing. Rank is an upper bound on how many directions a well </w:t>
      </w:r>
      <w:r>
        <w:rPr>
          <w:i/>
          <w:iCs/>
        </w:rPr>
        <w:t>may</w:t>
      </w:r>
      <w:r>
        <w:t xml:space="preserve"> use, never a guarantee that it uses them; the participation ratio is precisely what distinguishes the two.</w:t>
      </w:r>
    </w:p>
    <w:p w14:paraId="1627F86D" w14:textId="77777777" w:rsidR="00E56717" w:rsidRDefault="00000000">
      <w:r>
        <w:t xml:space="preserve">That distinction has real weight behind it, because the low-rank factor is not a small piece of the model. Instantiating the modules directly shows the projection </w:t>
      </w:r>
      <m:oMath>
        <m:sSub>
          <m:sSubPr>
            <m:ctrlPr>
              <w:rPr>
                <w:rFonts w:ascii="Cambria Math" w:hAnsi="Cambria Math"/>
              </w:rPr>
            </m:ctrlPr>
          </m:sSubPr>
          <m:e>
            <m:r>
              <w:rPr>
                <w:rFonts w:ascii="Cambria Math" w:hAnsi="Cambria Math"/>
              </w:rPr>
              <m:t>B</m:t>
            </m:r>
          </m:e>
          <m:sub>
            <m:r>
              <m:rPr>
                <m:nor/>
              </m:rPr>
              <m:t>proj</m:t>
            </m:r>
          </m:sub>
        </m:sSub>
      </m:oMath>
      <w:r>
        <w:t xml:space="preserve"> alone accounts for roughly two-thirds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’s parameters at rank 4, and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itself is close to half of the whole network — so the low-rank factor is on the order of thirty percent of every parameter in the model. Raising the rank from 4 to 8 is correspondingly close to a one-third increase in total model size. That is a real opportunity cost against spending the same budget on depth or width, which is why the rank question deserves measurement before it is answered by convention.</w:t>
      </w:r>
    </w:p>
    <w:p w14:paraId="16722AF7" w14:textId="77777777" w:rsidR="00E56717" w:rsidRDefault="00000000">
      <w:pPr>
        <w:pStyle w:val="Heading3"/>
      </w:pPr>
      <w:bookmarkStart w:id="23" w:name="_Toc240119385"/>
      <w:r>
        <w:t>A procedure for choosing the rank</w:t>
      </w:r>
      <w:bookmarkEnd w:id="23"/>
    </w:p>
    <w:p w14:paraId="34E71681" w14:textId="77777777" w:rsidR="00E56717" w:rsidRDefault="00000000">
      <w:r>
        <w:t xml:space="preserve">The rank is naturally a single scalar shared by every well in every bank at every layer, but the participation ratio is a per-(layer, channel, well) quantity, and there is no reason for that distribution to be tight — different layers and different context channels routinely carry very different amounts of salience. The honest target is therefore not “the optimal rank” in the abstract but the optimal rank </w:t>
      </w:r>
      <w:r>
        <w:rPr>
          <w:i/>
          <w:iCs/>
        </w:rPr>
        <w:t>allocation</w:t>
      </w:r>
      <w:r>
        <w:t xml:space="preserve">, of which a single global </w:t>
      </w:r>
      <m:oMath>
        <m:r>
          <w:rPr>
            <w:rFonts w:ascii="Cambria Math" w:hAnsi="Cambria Math"/>
          </w:rPr>
          <m:t>r</m:t>
        </m:r>
      </m:oMath>
      <w:r>
        <w:t xml:space="preserve"> is the degenerate, currently-implemented special case. A staged, cost-ordered procedure for approaching that target:</w:t>
      </w:r>
    </w:p>
    <w:p w14:paraId="2057255D" w14:textId="77777777" w:rsidR="00E56717" w:rsidRDefault="00000000">
      <w:r>
        <w:rPr>
          <w:b/>
          <w:bCs/>
        </w:rPr>
        <w:t>Stage 0 — precondition.</w:t>
      </w:r>
      <w:r>
        <w:t xml:space="preserve"> Confirm the Frobenius norm at the median well is close to </w:t>
      </w:r>
      <m:oMath>
        <m:rad>
          <m:radPr>
            <m:degHide m:val="1"/>
            <m:ctrlPr>
              <w:rPr>
                <w:rFonts w:ascii="Cambria Math" w:hAnsi="Cambria Math"/>
              </w:rPr>
            </m:ctrlPr>
          </m:radPr>
          <m:deg/>
          <m:e>
            <m:r>
              <m:rPr>
                <m:nor/>
              </m:rPr>
              <m:t>precision_lr_max</m:t>
            </m:r>
          </m:e>
        </m:rad>
      </m:oMath>
      <w:r>
        <w:t>, i.e. that the cap is actually binding. If it is not, the redistribution argument above does not apply and the rank question reduces to an ordinary capacity question instead.</w:t>
      </w:r>
    </w:p>
    <w:p w14:paraId="4A4113BC" w14:textId="77777777" w:rsidR="00E56717" w:rsidRDefault="00000000">
      <w:r>
        <w:rPr>
          <w:b/>
          <w:bCs/>
        </w:rPr>
        <w:t>Stage 1 — measure the effective rank.</w:t>
      </w:r>
      <w:r>
        <w:t xml:space="preserve"> Read the participation-ratio distribution across wells directly from existing checkpoints, at no additional training cost, since the cap being binding constrains only the </w:t>
      </w:r>
      <w:r>
        <w:rPr>
          <w:i/>
          <w:iCs/>
        </w:rPr>
        <w:t>total</w:t>
      </w:r>
      <w:r>
        <w:t xml:space="preserve"> curvature and says nothing about how it distributes — so the measurement is valid under the deployed configuration without needing to relax anything. If the median participation ratio sits at or below </w:t>
      </w:r>
      <m:oMath>
        <m:r>
          <w:rPr>
            <w:rFonts w:ascii="Cambria Math" w:hAnsi="Cambria Math"/>
          </w:rPr>
          <m:t>r</m:t>
        </m:r>
        <m:r>
          <m:rPr>
            <m:sty m:val="p"/>
          </m:rPr>
          <w:rPr>
            <w:rFonts w:ascii="Cambria Math" w:hAnsi="Cambria Math"/>
          </w:rPr>
          <m:t>/</m:t>
        </m:r>
        <m:r>
          <w:rPr>
            <w:rFonts w:ascii="Cambria Math" w:hAnsi="Cambria Math"/>
          </w:rPr>
          <m:t>2</m:t>
        </m:r>
      </m:oMath>
      <w:r>
        <w:t xml:space="preserve">, the model is not using the rank it already has, and additional rank will not help; the available levers are a flatness incentive — a penalty on the ratio of </w:t>
      </w:r>
      <m:oMath>
        <m:sSubSup>
          <m:sSubSupPr>
            <m:ctrlPr>
              <w:rPr>
                <w:rFonts w:ascii="Cambria Math" w:hAnsi="Cambria Math"/>
              </w:rPr>
            </m:ctrlPr>
          </m:sSubSupPr>
          <m:e>
            <m:r>
              <w:rPr>
                <w:rFonts w:ascii="Cambria Math" w:hAnsi="Cambria Math"/>
              </w:rPr>
              <m:t>σ</m:t>
            </m:r>
          </m:e>
          <m:sub>
            <m:r>
              <m:rPr>
                <m:sty m:val="p"/>
              </m:rPr>
              <w:rPr>
                <w:rFonts w:ascii="Cambria Math" w:hAnsi="Cambria Math"/>
              </w:rPr>
              <m:t>max</m:t>
            </m:r>
          </m:sub>
          <m:sup>
            <m:r>
              <w:rPr>
                <w:rFonts w:ascii="Cambria Math" w:hAnsi="Cambria Math"/>
              </w:rPr>
              <m:t>2</m:t>
            </m:r>
          </m:sup>
        </m:sSubSup>
      </m:oMath>
      <w:r>
        <w:t xml:space="preserve"> to </w:t>
      </w:r>
      <m:oMath>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up>
            <m:r>
              <w:rPr>
                <w:rFonts w:ascii="Cambria Math" w:hAnsi="Cambria Math"/>
              </w:rPr>
              <m:t>2</m:t>
            </m:r>
          </m:sup>
        </m:sSubSup>
      </m:oMath>
      <w:r>
        <w:t xml:space="preserve"> that pushes the existing budget to spread across directions — or an outright reduction in rank to reclaim parameters.</w:t>
      </w:r>
    </w:p>
    <w:p w14:paraId="3D9F00EB" w14:textId="77777777" w:rsidR="00E56717" w:rsidRDefault="00000000">
      <w:r>
        <w:rPr>
          <w:b/>
          <w:bCs/>
        </w:rPr>
        <w:t>Stage 2 — rank-truncation ablation.</w:t>
      </w:r>
      <w:r>
        <w:t xml:space="preserve"> The participation ratio is a purely geometric statistic; it does not by itself establish that the small singular directions are functionally irrelevant, since a low participation ratio could coexist with tail directions that happen to align with something the loss cares about. The direct test replays a captured batch with the realised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truncated to its rank-</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SVD for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&lt;</m:t>
        </m:r>
        <m:r>
          <w:rPr>
            <w:rFonts w:ascii="Cambria Math" w:hAnsi="Cambria Math"/>
          </w:rPr>
          <m:t>r</m:t>
        </m:r>
      </m:oMath>
      <w:r>
        <w:t xml:space="preserve">, holding everything else fixed, and reports the relative force error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nor/>
                  </m:rPr>
                  <m:t>trunc</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full</m:t>
                </m:r>
              </m:sub>
            </m:sSub>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nor/>
                  </m:rPr>
                  <m:t>full</m:t>
                </m:r>
              </m:sub>
            </m:sSub>
          </m:e>
        </m:d>
      </m:oMath>
      <w:r>
        <w:t xml:space="preserve"> alongside the resulting loss and gradient norm. If truncating rank 4 to rank 2 changes the force by only a fraction of a percent, the top two directions are carrying the well’s entire signal and the remaining parameters are dead weight. This ablation is asymmetric by construction: truncation can only test downward, since directions beyond the trained rank were never learned and cannot be recovered by inspection.</w:t>
      </w:r>
    </w:p>
    <w:p w14:paraId="17F3073F" w14:textId="77777777" w:rsidR="00E56717" w:rsidRDefault="00000000">
      <w:r>
        <w:rPr>
          <w:b/>
          <w:bCs/>
        </w:rPr>
        <w:t>Stage 3 — a short pilot at higher rank.</w:t>
      </w:r>
      <w:r>
        <w:t xml:space="preserve"> Only when stage 1 shows saturation </w:t>
      </w:r>
      <w:r>
        <w:rPr>
          <w:i/>
          <w:iCs/>
        </w:rPr>
        <w:t>and</w:t>
      </w:r>
      <w:r>
        <w:t xml:space="preserve"> stage 2 shows the tail directions carry real force is the rank genuinely binding, in which case the only way to learn what more rank buys is to train at it — a short pilot, re-measuring the participation ratio afterward. Saturation again near the new rank means the data wants still more; a plateau partway to the new rank identifies the knee as the answer.</w:t>
      </w:r>
    </w:p>
    <w:p w14:paraId="6169C77D" w14:textId="77777777" w:rsidR="00E56717" w:rsidRDefault="00000000">
      <w:r>
        <w:rPr>
          <w:b/>
          <w:bCs/>
        </w:rPr>
        <w:t>Stage 4 — per-well allocation.</w:t>
      </w:r>
      <w:r>
        <w:t xml:space="preserve"> If the measured distribution is heterogeneous across wells and layers rather than concentrated, a single global rank is simultaneously over-serving some wells and starving others, and the more precise fix is architectural: a per-bank rank (cheap, since the low-rank projection is already organised per bank, and layer salience gives a principled prior for which banks deserve more), or a shared factor of generous rank with a per-well soft gate that lets each well draw only what it needs.</w:t>
      </w:r>
    </w:p>
    <w:p w14:paraId="3216EAD1" w14:textId="77777777" w:rsidR="00C93BBD" w:rsidRDefault="00000000" w:rsidP="00146D6B">
      <w:pPr>
        <w:pStyle w:val="Heading2"/>
        <w:rPr>
          <w:rFonts w:eastAsiaTheme="minorEastAsia"/>
        </w:rPr>
      </w:pPr>
      <w:bookmarkStart w:id="24" w:name="_Toc239712602"/>
      <w:bookmarkStart w:id="25" w:name="_Toc240119386"/>
      <w:r>
        <w:t>Note on multi-</w:t>
      </w:r>
      <m:oMath>
        <m:r>
          <w:rPr>
            <w:rFonts w:ascii="Cambria Math" w:hAnsi="Cambria Math"/>
          </w:rPr>
          <m:t>ξ</m:t>
        </m:r>
      </m:oMath>
      <w:r>
        <w:rPr>
          <w:rFonts w:eastAsiaTheme="minorEastAsia"/>
        </w:rPr>
        <w:t xml:space="preserve"> context channels and K-EMA</w:t>
      </w:r>
      <w:bookmarkEnd w:id="24"/>
      <w:bookmarkEnd w:id="25"/>
    </w:p>
    <w:p w14:paraId="343B16B0" w14:textId="77777777" w:rsidR="00C93BBD" w:rsidRDefault="00C93BBD" w:rsidP="00F05F79">
      <w:pPr>
        <w:rPr>
          <w:rFonts w:eastAsiaTheme="minorEastAsia"/>
        </w:rPr>
      </w:pPr>
    </w:p>
    <w:p w14:paraId="59E231B5" w14:textId="77777777" w:rsidR="00C93BBD" w:rsidRDefault="00000000" w:rsidP="00146D6B">
      <w:pPr>
        <w:pStyle w:val="Heading3"/>
      </w:pPr>
      <w:bookmarkStart w:id="26" w:name="_Toc239712603"/>
      <w:bookmarkStart w:id="27" w:name="_Toc240119387"/>
      <w:r>
        <w:lastRenderedPageBreak/>
        <w:t xml:space="preserve">Role of </w:t>
      </w:r>
      <m:oMath>
        <m:r>
          <w:rPr>
            <w:rFonts w:ascii="Cambria Math" w:hAnsi="Cambria Math"/>
          </w:rPr>
          <m:t>ξ</m:t>
        </m:r>
      </m:oMath>
      <w:r>
        <w:t xml:space="preserve"> in the Euler-Lagrange step</w:t>
      </w:r>
      <w:bookmarkEnd w:id="26"/>
      <w:bookmarkEnd w:id="27"/>
    </w:p>
    <w:p w14:paraId="5599C970" w14:textId="77777777" w:rsidR="00C93BBD" w:rsidRDefault="00C93BBD" w:rsidP="00146D6B"/>
    <w:p w14:paraId="07D1C1FB" w14:textId="77777777" w:rsidR="00C93BBD" w:rsidRDefault="00000000"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Pr>
          <w:rFonts w:eastAsiaTheme="minorEastAsia"/>
        </w:rPr>
        <w:t>:</w:t>
      </w:r>
    </w:p>
    <w:p w14:paraId="150B6A11" w14:textId="77777777" w:rsidR="00C93BBD" w:rsidRDefault="00C93BBD" w:rsidP="00146D6B">
      <w:pPr>
        <w:rPr>
          <w:rFonts w:eastAsiaTheme="minorEastAsia"/>
        </w:rPr>
      </w:pPr>
    </w:p>
    <w:p w14:paraId="71F0C445" w14:textId="77777777" w:rsidR="00C93BBD" w:rsidRDefault="00000000"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(a1.ode)</w:t>
      </w:r>
    </w:p>
    <w:p w14:paraId="3CA690D0" w14:textId="77777777" w:rsidR="00C93BBD" w:rsidRDefault="00C93BBD" w:rsidP="00146D6B">
      <w:pPr>
        <w:rPr>
          <w:rFonts w:eastAsiaTheme="minorEastAsia"/>
        </w:rPr>
      </w:pPr>
    </w:p>
    <w:p w14:paraId="5D0E5E3E" w14:textId="77777777" w:rsidR="00C93BBD" w:rsidRDefault="00000000" w:rsidP="00146D6B">
      <w:pPr>
        <w:rPr>
          <w:rFonts w:eastAsiaTheme="minorEastAsia"/>
        </w:rPr>
      </w:pPr>
      <w:r>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Pr>
          <w:rFonts w:eastAsiaTheme="minorEastAsia"/>
        </w:rPr>
        <w:t>.)</w:t>
      </w:r>
    </w:p>
    <w:p w14:paraId="0B4252D5" w14:textId="77777777" w:rsidR="00C93BBD" w:rsidRDefault="00C93BBD" w:rsidP="00146D6B">
      <w:pPr>
        <w:rPr>
          <w:rFonts w:eastAsiaTheme="minorEastAsia"/>
        </w:rPr>
      </w:pPr>
    </w:p>
    <w:p w14:paraId="0A7074D9" w14:textId="77777777" w:rsidR="00C93BBD" w:rsidRDefault="00000000"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 </w:t>
      </w:r>
      <m:oMath>
        <m:r>
          <w:rPr>
            <w:rFonts w:ascii="Cambria Math" w:eastAsiaTheme="minorEastAsia" w:hAnsi="Cambria Math"/>
          </w:rPr>
          <m:t>ξ</m:t>
        </m:r>
      </m:oMath>
      <w:r>
        <w:rPr>
          <w:rFonts w:eastAsiaTheme="minorEastAsia"/>
        </w:rPr>
        <w:t xml:space="preserve"> is the mechanism by which </w:t>
      </w:r>
      <w:r w:rsidRPr="004149CA">
        <w:rPr>
          <w:rFonts w:eastAsiaTheme="minorEastAsia"/>
          <w:i/>
          <w:iCs/>
        </w:rPr>
        <w:t>past hidden states</w:t>
      </w:r>
      <w:r>
        <w:rPr>
          <w:rFonts w:eastAsiaTheme="minorEastAsia"/>
        </w:rPr>
        <w:t xml:space="preserve"> enter the single-particle potential while remaining </w:t>
      </w:r>
      <w:r w:rsidRPr="004149CA">
        <w:rPr>
          <w:rFonts w:eastAsiaTheme="minorEastAsia"/>
          <w:i/>
          <w:iCs/>
        </w:rPr>
        <w:t>a fixed external field</w:t>
      </w:r>
      <w:r>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w:t>
      </w:r>
    </w:p>
    <w:p w14:paraId="173F568B" w14:textId="77777777" w:rsidR="00C93BBD" w:rsidRDefault="00C93BBD" w:rsidP="00146D6B">
      <w:pPr>
        <w:rPr>
          <w:rFonts w:eastAsiaTheme="minorEastAsia"/>
        </w:rPr>
      </w:pPr>
    </w:p>
    <w:p w14:paraId="73E7BE54" w14:textId="77777777" w:rsidR="00C93BBD" w:rsidRDefault="00000000"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into the </w:t>
      </w:r>
      <m:oMath>
        <m:r>
          <w:rPr>
            <w:rFonts w:ascii="Cambria Math" w:eastAsiaTheme="minorEastAsia" w:hAnsi="Cambria Math"/>
          </w:rPr>
          <m:t>ξ</m:t>
        </m:r>
      </m:oMath>
      <w:r>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values back into past tokens (that is the anti-causal leak that collapsed pre-fix multi</w:t>
      </w:r>
      <w:r>
        <w:rPr>
          <w:rFonts w:ascii="Cambria Math" w:eastAsiaTheme="minorEastAsia" w:hAnsi="Cambria Math"/>
          <w:i/>
        </w:rPr>
        <w:t>-</w:t>
      </w:r>
      <w:r>
        <w:rPr>
          <w:rFonts w:ascii="Cambria Math" w:eastAsiaTheme="minorEastAsia" w:hAnsi="Cambria Math"/>
          <w:iCs/>
        </w:rPr>
        <w:t xml:space="preserve"> </w:t>
      </w:r>
      <m:oMath>
        <m:r>
          <w:rPr>
            <w:rFonts w:ascii="Cambria Math" w:eastAsiaTheme="minorEastAsia" w:hAnsi="Cambria Math"/>
          </w:rPr>
          <m:t>ξ</m:t>
        </m:r>
      </m:oMath>
      <w:r w:rsidRPr="00AB7A1A">
        <w:rPr>
          <w:rFonts w:eastAsiaTheme="minorEastAsia"/>
        </w:rPr>
        <w:t xml:space="preserve"> PPL</w:t>
      </w:r>
      <w:r>
        <w:rPr>
          <w:rFonts w:eastAsiaTheme="minorEastAsia"/>
        </w:rPr>
        <w:t>).</w:t>
      </w:r>
    </w:p>
    <w:p w14:paraId="1C7D8053" w14:textId="77777777" w:rsidR="00C93BBD" w:rsidRDefault="00C93BBD" w:rsidP="00146D6B">
      <w:pPr>
        <w:rPr>
          <w:rFonts w:eastAsiaTheme="minorEastAsia"/>
        </w:rPr>
      </w:pPr>
    </w:p>
    <w:p w14:paraId="15B0A188" w14:textId="77777777" w:rsidR="00C93BBD" w:rsidRPr="00AB7A1A" w:rsidRDefault="00000000" w:rsidP="00AB7A1A">
      <w:pPr>
        <w:pStyle w:val="Heading3"/>
        <w:rPr>
          <w:rFonts w:eastAsiaTheme="minorEastAsia"/>
          <w:iCs/>
        </w:rPr>
      </w:pPr>
      <w:bookmarkStart w:id="28" w:name="_Toc239712604"/>
      <w:bookmarkStart w:id="29" w:name="_Toc240119388"/>
      <w:r>
        <w:rPr>
          <w:rFonts w:eastAsiaTheme="minorEastAsia"/>
        </w:rPr>
        <w:t>Single channel : rank-1 causal mean</w:t>
      </w:r>
      <w:bookmarkEnd w:id="28"/>
      <w:bookmarkEnd w:id="29"/>
    </w:p>
    <w:p w14:paraId="3431ACC8" w14:textId="77777777" w:rsidR="00C93BBD" w:rsidRDefault="00C93BBD" w:rsidP="00146D6B">
      <w:pPr>
        <w:rPr>
          <w:rFonts w:eastAsiaTheme="minorEastAsia"/>
        </w:rPr>
      </w:pPr>
    </w:p>
    <w:p w14:paraId="70BE4E58" w14:textId="77777777" w:rsidR="00C93BBD" w:rsidRDefault="00000000" w:rsidP="00146D6B">
      <w:pPr>
        <w:rPr>
          <w:rFonts w:eastAsiaTheme="minorEastAsia"/>
        </w:rPr>
      </w:pPr>
      <w:r>
        <w:rPr>
          <w:rFonts w:eastAsiaTheme="minorEastAsia"/>
        </w:rPr>
        <w:t xml:space="preserve">The original SPLM / SARF  construction uses one context vector, the causal cumulative mean </w:t>
      </w:r>
    </w:p>
    <w:p w14:paraId="4FD07011" w14:textId="77777777" w:rsidR="00C93BBD" w:rsidRDefault="00C93BBD" w:rsidP="00146D6B">
      <w:pPr>
        <w:rPr>
          <w:rFonts w:eastAsiaTheme="minorEastAsia"/>
        </w:rPr>
      </w:pPr>
    </w:p>
    <w:p w14:paraId="0A681DD0" w14:textId="77777777" w:rsidR="00C93BBD"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(ccm.1)</w:t>
      </w:r>
    </w:p>
    <w:p w14:paraId="574C5BAD" w14:textId="77777777" w:rsidR="00C93BBD" w:rsidRDefault="00C93BBD" w:rsidP="00146D6B">
      <w:pPr>
        <w:rPr>
          <w:rFonts w:eastAsiaTheme="minorEastAsia"/>
        </w:rPr>
      </w:pPr>
    </w:p>
    <w:p w14:paraId="2765CEA5" w14:textId="77777777" w:rsidR="00C93BBD" w:rsidRDefault="00000000"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07B55EC5" w14:textId="77777777" w:rsidR="00C93BBD" w:rsidRDefault="00C93BBD" w:rsidP="00146D6B">
      <w:pPr>
        <w:rPr>
          <w:rFonts w:eastAsiaTheme="minorEastAsia"/>
        </w:rPr>
      </w:pPr>
    </w:p>
    <w:p w14:paraId="54016257" w14:textId="77777777" w:rsidR="00C93BBD" w:rsidRDefault="00000000" w:rsidP="00146D6B">
      <w:pPr>
        <w:rPr>
          <w:rFonts w:eastAsiaTheme="minorEastAsia"/>
        </w:rPr>
      </w:pPr>
      <w:r>
        <w:rPr>
          <w:rFonts w:eastAsiaTheme="minorEastAsia"/>
        </w:rPr>
        <w:t>Then,</w:t>
      </w:r>
    </w:p>
    <w:p w14:paraId="542674FA" w14:textId="77777777" w:rsidR="00C93BBD" w:rsidRDefault="00C93BBD" w:rsidP="00146D6B">
      <w:pPr>
        <w:rPr>
          <w:rFonts w:eastAsiaTheme="minorEastAsia"/>
        </w:rPr>
      </w:pPr>
    </w:p>
    <w:p w14:paraId="62627EB3" w14:textId="77777777" w:rsidR="00C93BBD"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t>
      </w:r>
    </w:p>
    <w:p w14:paraId="77A377BC" w14:textId="77777777" w:rsidR="00C93BBD" w:rsidRDefault="00C93BBD" w:rsidP="00146D6B">
      <w:pPr>
        <w:rPr>
          <w:rFonts w:eastAsiaTheme="minorEastAsia"/>
        </w:rPr>
      </w:pPr>
    </w:p>
    <w:p w14:paraId="553557EA" w14:textId="77777777" w:rsidR="00C93BBD" w:rsidRDefault="00000000"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 (demonstrated by experiment E11/R6 ladder available in the companion repo) is the structural reason the multi-channel extension exists. </w:t>
      </w:r>
    </w:p>
    <w:p w14:paraId="7A7A8625" w14:textId="77777777" w:rsidR="00C93BBD" w:rsidRDefault="00C93BBD" w:rsidP="00146D6B">
      <w:pPr>
        <w:rPr>
          <w:rFonts w:eastAsiaTheme="minorEastAsia"/>
        </w:rPr>
      </w:pPr>
    </w:p>
    <w:p w14:paraId="497926FD" w14:textId="77777777" w:rsidR="00C93BBD" w:rsidRDefault="00000000" w:rsidP="00FE502B">
      <w:pPr>
        <w:pStyle w:val="Heading3"/>
        <w:rPr>
          <w:rFonts w:eastAsiaTheme="minorEastAsia"/>
        </w:rPr>
      </w:pPr>
      <w:bookmarkStart w:id="30" w:name="_Toc239712605"/>
      <w:bookmarkStart w:id="31" w:name="_Toc240119389"/>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bookmarkEnd w:id="30"/>
      <w:bookmarkEnd w:id="31"/>
    </w:p>
    <w:p w14:paraId="47D980F7" w14:textId="77777777" w:rsidR="00C93BBD" w:rsidRDefault="00C93BBD" w:rsidP="00146D6B">
      <w:pPr>
        <w:rPr>
          <w:rFonts w:eastAsiaTheme="minorEastAsia"/>
        </w:rPr>
      </w:pPr>
    </w:p>
    <w:p w14:paraId="7E356163" w14:textId="77777777" w:rsidR="00C93BBD" w:rsidRDefault="00000000"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60E6151D" w14:textId="77777777" w:rsidR="00C93BBD" w:rsidRDefault="00000000"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75C4E701" w14:textId="77777777" w:rsidR="00C93BBD" w:rsidRDefault="00C93BBD" w:rsidP="00146D6B">
      <w:pPr>
        <w:rPr>
          <w:rFonts w:eastAsiaTheme="minorEastAsia"/>
        </w:rPr>
      </w:pPr>
    </w:p>
    <w:p w14:paraId="1DDEF9AA" w14:textId="77777777" w:rsidR="00C93BBD"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t-r</m:t>
                    </m:r>
                  </m:sup>
                </m:sSubSup>
              </m:e>
            </m:nary>
          </m:den>
        </m:f>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=0</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s&gt;t</m:t>
            </m:r>
          </m:e>
        </m:d>
      </m:oMath>
      <w:r>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(chk.1)</w:t>
      </w:r>
    </w:p>
    <w:p w14:paraId="0E1CC29B" w14:textId="77777777" w:rsidR="00C93BBD" w:rsidRDefault="00C93BBD" w:rsidP="00146D6B">
      <w:pPr>
        <w:rPr>
          <w:rFonts w:eastAsiaTheme="minorEastAsia"/>
        </w:rPr>
      </w:pPr>
    </w:p>
    <w:p w14:paraId="0062719B" w14:textId="77777777" w:rsidR="00C93BBD" w:rsidRDefault="00000000" w:rsidP="00146D6B">
      <w:pPr>
        <w:rPr>
          <w:rFonts w:eastAsiaTheme="minorEastAsia"/>
        </w:rPr>
      </w:pPr>
      <w:r>
        <w:rPr>
          <w:rFonts w:eastAsiaTheme="minorEastAsia"/>
        </w:rPr>
        <w:t xml:space="preserve">Weights in (chk.1) are built with in log-space and are row-normalized with </w:t>
      </w:r>
      <w:r w:rsidRPr="00D20131">
        <w:rPr>
          <w:rFonts w:ascii="Consolas" w:eastAsiaTheme="minorEastAsia" w:hAnsi="Consolas" w:cs="Consolas"/>
          <w:sz w:val="17"/>
          <w:szCs w:val="17"/>
        </w:rPr>
        <w:t>logsumexp</w:t>
      </w:r>
      <w:r>
        <w:rPr>
          <w:rFonts w:eastAsiaTheme="minorEastAsia"/>
        </w:rPr>
        <w:t xml:space="preserve">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5BACEAC0" w14:textId="77777777" w:rsidR="00C93BBD" w:rsidRDefault="00C93BBD" w:rsidP="00146D6B">
      <w:pPr>
        <w:rPr>
          <w:rFonts w:eastAsiaTheme="minorEastAsia"/>
        </w:rPr>
      </w:pPr>
    </w:p>
    <w:p w14:paraId="13B69E5F" w14:textId="77777777" w:rsidR="00C93BBD" w:rsidRDefault="00000000" w:rsidP="00146D6B">
      <w:r w:rsidRPr="00CD3DF9">
        <w:rPr>
          <w:b/>
          <w:bCs/>
        </w:rPr>
        <w:t>Endpoint interpolation</w:t>
      </w:r>
      <w:r>
        <w:t xml:space="preserve"> (this is the implemented kernel, not the classical IIR EMA):</w:t>
      </w:r>
    </w:p>
    <w:p w14:paraId="5FE66379" w14:textId="77777777" w:rsidR="00C93BBD" w:rsidRDefault="00C93BBD" w:rsidP="00146D6B"/>
    <w:p w14:paraId="2483054E" w14:textId="77777777" w:rsidR="00C93BBD" w:rsidRPr="001F52AD" w:rsidRDefault="00000000" w:rsidP="001F52AD">
      <w:pPr>
        <w:pStyle w:val="ListParagraph"/>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→0 :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t xml:space="preserve">• </w:t>
      </w:r>
      <w:r>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(no past);</w:t>
      </w:r>
    </w:p>
    <w:p w14:paraId="516F4DD6" w14:textId="77777777" w:rsidR="00C93BBD" w:rsidRPr="0046020D" w:rsidRDefault="00000000" w:rsidP="001F52AD">
      <w:pPr>
        <w:pStyle w:val="ListParagraph"/>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t xml:space="preserve">• </w:t>
      </w:r>
      <w:r>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recovers the single-</w:t>
      </w:r>
      <w:r w:rsidRPr="0046020D">
        <w:rPr>
          <w:rFonts w:ascii="Cambria Math" w:eastAsiaTheme="minorEastAsia" w:hAnsi="Cambria Math"/>
          <w:i/>
        </w:rPr>
        <w:t xml:space="preserve"> </w:t>
      </w:r>
      <m:oMath>
        <m:r>
          <w:rPr>
            <w:rFonts w:ascii="Cambria Math" w:eastAsiaTheme="minorEastAsia" w:hAnsi="Cambria Math"/>
          </w:rPr>
          <m:t>ξ</m:t>
        </m:r>
      </m:oMath>
      <w:r>
        <w:rPr>
          <w:rFonts w:ascii="Cambria Math" w:eastAsiaTheme="minorEastAsia" w:hAnsi="Cambria Math"/>
          <w:i/>
        </w:rPr>
        <w:t xml:space="preserve"> </w:t>
      </w:r>
      <w:r>
        <w:rPr>
          <w:rFonts w:eastAsiaTheme="minorEastAsia"/>
          <w:iCs/>
        </w:rPr>
        <w:t>baseline;</w:t>
      </w:r>
    </w:p>
    <w:p w14:paraId="3609F60A" w14:textId="77777777" w:rsidR="00C93BBD" w:rsidRPr="004123D6" w:rsidRDefault="00000000" w:rsidP="001F52AD">
      <w:pPr>
        <w:pStyle w:val="ListParagraph"/>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0+ε,1-ε</m:t>
            </m:r>
          </m:e>
        </m:d>
      </m:oMath>
      <w:r>
        <w:t xml:space="preserve">• </w:t>
      </w:r>
      <w:r>
        <w:rPr>
          <w:rFonts w:eastAsiaTheme="minorEastAsia"/>
        </w:rPr>
        <w:t xml:space="preserve"> where </w:t>
      </w:r>
      <m:oMath>
        <m:r>
          <w:rPr>
            <w:rFonts w:ascii="Cambria Math" w:hAnsi="Cambria Math"/>
          </w:rPr>
          <m:t>ε&gt;0</m:t>
        </m:r>
      </m:oMath>
      <w:r>
        <w:rPr>
          <w:rFonts w:eastAsiaTheme="minorEastAsia"/>
        </w:rPr>
        <w:t xml:space="preserve"> is small enough but fixed : 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Pr>
          <w:rFonts w:eastAsiaTheme="minorEastAsia"/>
        </w:rPr>
        <w:t>.</w:t>
      </w:r>
    </w:p>
    <w:p w14:paraId="3730BBAB" w14:textId="77777777" w:rsidR="00C93BBD" w:rsidRDefault="00C93BBD" w:rsidP="004123D6"/>
    <w:p w14:paraId="639C6763" w14:textId="77777777" w:rsidR="00C93BBD" w:rsidRDefault="00000000"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023719C2" w14:textId="77777777" w:rsidR="00C93BBD" w:rsidRDefault="00000000" w:rsidP="004123D6">
      <w:pPr>
        <w:rPr>
          <w:rFonts w:eastAsiaTheme="minorEastAsia"/>
        </w:rPr>
      </w:pPr>
      <w:r>
        <w:rPr>
          <w:rFonts w:eastAsiaTheme="minorEastAsia"/>
        </w:rPr>
        <w:t>Note that this interpolation (chk.1) is not the same as the textbook recurrence</w:t>
      </w:r>
    </w:p>
    <w:p w14:paraId="16E3E452" w14:textId="77777777" w:rsidR="00C93BBD" w:rsidRDefault="00C93BBD" w:rsidP="004123D6">
      <w:pPr>
        <w:rPr>
          <w:rFonts w:eastAsiaTheme="minorEastAsia"/>
        </w:rPr>
      </w:pPr>
    </w:p>
    <w:p w14:paraId="3FBAE426" w14:textId="77777777" w:rsidR="00C93BBD" w:rsidRDefault="00000000"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(iir.1) </w:t>
      </w:r>
    </w:p>
    <w:p w14:paraId="7FCF65C9" w14:textId="77777777" w:rsidR="00C93BBD" w:rsidRDefault="00C93BBD" w:rsidP="004123D6">
      <w:pPr>
        <w:rPr>
          <w:rFonts w:eastAsiaTheme="minorEastAsia"/>
        </w:rPr>
      </w:pPr>
    </w:p>
    <w:p w14:paraId="5280C402" w14:textId="77777777" w:rsidR="00C93BBD" w:rsidRDefault="00000000"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α→1</m:t>
        </m:r>
      </m:oMath>
      <w:r>
        <w:rPr>
          <w:rFonts w:eastAsiaTheme="minorEastAsia"/>
        </w:rPr>
        <w:t xml:space="preserve"> limit freezes early tokens rather than recovering the cumulative mean. In [1], (iir.1) is denoted as </w:t>
      </w:r>
      <w:r w:rsidRPr="00197CF8">
        <w:rPr>
          <w:rFonts w:ascii="Consolas" w:eastAsiaTheme="minorEastAsia" w:hAnsi="Consolas" w:cs="Consolas"/>
          <w:sz w:val="17"/>
          <w:szCs w:val="17"/>
        </w:rPr>
        <w:t>R6.h.0</w:t>
      </w:r>
      <w:r>
        <w:rPr>
          <w:rFonts w:eastAsiaTheme="minorEastAsia"/>
        </w:rPr>
        <w:t xml:space="preserve">.  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like with (chk.1), however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(memory freezes).</w:t>
      </w:r>
    </w:p>
    <w:p w14:paraId="30EC6176" w14:textId="77777777" w:rsidR="00C93BBD" w:rsidRDefault="00C93BBD" w:rsidP="004123D6">
      <w:pPr>
        <w:rPr>
          <w:rFonts w:eastAsiaTheme="minorEastAsia"/>
        </w:rPr>
      </w:pPr>
    </w:p>
    <w:p w14:paraId="7763B272" w14:textId="77777777" w:rsidR="00C93BBD" w:rsidRDefault="00000000"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Pr>
          <w:rFonts w:eastAsiaTheme="minorEastAsia"/>
        </w:rPr>
        <w:t xml:space="preserve"> can be frozen or learnable (</w:t>
      </w:r>
      <w:r w:rsidRPr="00581BEE">
        <w:rPr>
          <w:rFonts w:ascii="Consolas" w:eastAsiaTheme="minorEastAsia" w:hAnsi="Consolas" w:cs="Consolas"/>
          <w:sz w:val="17"/>
          <w:szCs w:val="17"/>
        </w:rPr>
        <w:t>xi_learnable</w:t>
      </w:r>
      <w:r>
        <w:rPr>
          <w:rFonts w:eastAsiaTheme="minorEastAsia"/>
        </w:rPr>
        <w:t>). All current models in the SPLM family use learnable decays.</w:t>
      </w:r>
    </w:p>
    <w:p w14:paraId="46C1C3AA" w14:textId="77777777" w:rsidR="00C93BBD" w:rsidRDefault="00C93BBD" w:rsidP="004123D6">
      <w:pPr>
        <w:rPr>
          <w:rFonts w:eastAsiaTheme="minorEastAsia"/>
        </w:rPr>
      </w:pPr>
    </w:p>
    <w:p w14:paraId="127C1B2A" w14:textId="77777777" w:rsidR="00C93BBD" w:rsidRPr="00146D6B" w:rsidRDefault="00000000"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p w14:paraId="3E2ADBE5" w14:textId="77777777" w:rsidR="00C93BBD" w:rsidRDefault="00C93BBD" w:rsidP="00F05F79"/>
    <w:p w14:paraId="0D42BE88" w14:textId="77777777" w:rsidR="00C93BBD" w:rsidRDefault="00000000" w:rsidP="00F05F79">
      <w:r>
        <w:t xml:space="preserve">Log-spacing is the prior that relevant linguistic timescales are scale-free up to a paragraph length: horizons sit on a geometric grid rather than on an ad-hoc list. </w:t>
      </w:r>
    </w:p>
    <w:p w14:paraId="54940ED1" w14:textId="77777777" w:rsidR="00C93BBD" w:rsidRDefault="00C93BBD" w:rsidP="00F05F79"/>
    <w:p w14:paraId="4F095698" w14:textId="77777777" w:rsidR="00C93BBD" w:rsidRDefault="00000000" w:rsidP="00F05F79">
      <w:r>
        <w:t xml:space="preserve">Forward shape: </w:t>
      </w:r>
      <m:oMath>
        <m:r>
          <w:rPr>
            <w:rFonts w:ascii="Cambria Math" w:hAnsi="Cambria Math"/>
          </w:rPr>
          <m:t>h∈</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B×T×d×k</m:t>
            </m:r>
          </m:sup>
        </m:sSup>
      </m:oMath>
      <w:r>
        <w:rPr>
          <w:rFonts w:eastAsiaTheme="minorEastAsia"/>
        </w:rPr>
        <w:t>.</w:t>
      </w:r>
    </w:p>
    <w:p w14:paraId="344BE9EC" w14:textId="77777777" w:rsidR="00C93BBD" w:rsidRDefault="00C93BBD" w:rsidP="00F05F79"/>
    <w:p w14:paraId="5F59E15E" w14:textId="77777777" w:rsidR="00C93BBD" w:rsidRDefault="00000000" w:rsidP="00E85B5B">
      <w:pPr>
        <w:pStyle w:val="Heading2"/>
        <w:rPr>
          <w:color w:val="auto"/>
          <w:sz w:val="19"/>
          <w:szCs w:val="24"/>
        </w:rPr>
      </w:pPr>
      <w:bookmarkStart w:id="32" w:name="_Toc239712606"/>
      <w:bookmarkStart w:id="33" w:name="_Toc240119390"/>
      <w:r>
        <w:t xml:space="preserve">Note on the hidden width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bookmarkEnd w:id="32"/>
      <w:bookmarkEnd w:id="33"/>
    </w:p>
    <w:p w14:paraId="1627BCCD" w14:textId="77777777" w:rsidR="00C93BBD" w:rsidRDefault="00C93BBD" w:rsidP="00E85B5B"/>
    <w:p w14:paraId="0D82BC4C" w14:textId="77777777" w:rsidR="00C93BBD" w:rsidRDefault="00000000" w:rsidP="00E85B5B">
      <w:pPr>
        <w:rPr>
          <w:rFonts w:eastAsiaTheme="minorEastAsia"/>
        </w:rPr>
      </w:pPr>
      <w:r>
        <w:t xml:space="preserve">This note is on the difference between the hidden width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 xml:space="preserve"> and the number of hidden dimensions of the embeddings (or state) </w:t>
      </w:r>
      <m:oMath>
        <m:r>
          <w:rPr>
            <w:rFonts w:ascii="Cambria Math" w:eastAsiaTheme="minorEastAsia" w:hAnsi="Cambria Math"/>
          </w:rPr>
          <m:t>d</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 xml:space="preserve"> and </w:t>
      </w:r>
      <m:oMath>
        <m:r>
          <w:rPr>
            <w:rFonts w:ascii="Cambria Math" w:eastAsiaTheme="minorEastAsia" w:hAnsi="Cambria Math"/>
          </w:rPr>
          <m:t>d</m:t>
        </m:r>
      </m:oMath>
      <w:r>
        <w:rPr>
          <w:rFonts w:eastAsiaTheme="minorEastAsia"/>
        </w:rPr>
        <w:t xml:space="preserve"> represent different widths for two different objects. </w:t>
      </w:r>
    </w:p>
    <w:p w14:paraId="6B7E6F72" w14:textId="77777777" w:rsidR="00C93BBD" w:rsidRDefault="00000000" w:rsidP="00E85B5B">
      <w:pPr>
        <w:rPr>
          <w:rFonts w:eastAsiaTheme="minorEastAsia"/>
        </w:rPr>
      </w:pPr>
      <w:r>
        <w:rPr>
          <w:rFonts w:eastAsiaTheme="minorEastAsia"/>
        </w:rPr>
        <w:t xml:space="preserve">The hidden state dimensions width </w:t>
      </w:r>
      <m:oMath>
        <m:r>
          <w:rPr>
            <w:rFonts w:ascii="Cambria Math" w:eastAsiaTheme="minorEastAsia" w:hAnsi="Cambria Math"/>
          </w:rPr>
          <m:t>d</m:t>
        </m:r>
      </m:oMath>
      <w:r>
        <w:rPr>
          <w:rFonts w:eastAsiaTheme="minorEastAsia"/>
        </w:rPr>
        <w:t xml:space="preserve"> represents the fact that each 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(the current TinyStories scale-up model code uses </w:t>
      </w:r>
      <m:oMath>
        <m:r>
          <w:rPr>
            <w:rFonts w:ascii="Cambria Math" w:eastAsiaTheme="minorEastAsia" w:hAnsi="Cambria Math"/>
          </w:rPr>
          <m:t>d=256</m:t>
        </m:r>
      </m:oMath>
      <w:r>
        <w:rPr>
          <w:rFonts w:eastAsiaTheme="minorEastAsia"/>
        </w:rPr>
        <w:t xml:space="preserve">; some of the previous experiments used </w:t>
      </w:r>
      <m:oMath>
        <m:r>
          <w:rPr>
            <w:rFonts w:ascii="Cambria Math" w:eastAsiaTheme="minorEastAsia" w:hAnsi="Cambria Math"/>
          </w:rPr>
          <m:t>d=192</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That network is not a residual stream and it maps a concatenated input to one energy:</w:t>
      </w:r>
    </w:p>
    <w:p w14:paraId="6C865F53" w14:textId="77777777" w:rsidR="00C93BBD" w:rsidRDefault="00C93BBD" w:rsidP="00E85B5B">
      <w:pPr>
        <w:rPr>
          <w:rFonts w:eastAsiaTheme="minorEastAsia"/>
        </w:rPr>
      </w:pPr>
    </w:p>
    <w:p w14:paraId="7A03D72E"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0062EC70"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6E152760"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3C9491E7"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2AAE0EBB" w14:textId="77777777" w:rsidR="00C93BBD" w:rsidRDefault="00000000"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proofErr w:type="spellStart"/>
      <w:r w:rsidRPr="00905D6A">
        <w:rPr>
          <w:rFonts w:ascii="Consolas" w:eastAsiaTheme="minorEastAsia" w:hAnsi="Consolas" w:cs="Consolas"/>
          <w:color w:val="7030A0"/>
          <w:sz w:val="17"/>
          <w:szCs w:val="17"/>
        </w:rPr>
        <w:t>self</w:t>
      </w:r>
      <w:proofErr w:type="spellEnd"/>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7277DE2B" w14:textId="77777777" w:rsidR="00C93BBD" w:rsidRDefault="00C93BBD" w:rsidP="00905D6A">
      <w:pPr>
        <w:rPr>
          <w:rFonts w:eastAsiaTheme="minorEastAsia"/>
        </w:rPr>
      </w:pPr>
    </w:p>
    <w:p w14:paraId="7B930756" w14:textId="77777777" w:rsidR="00C93BBD" w:rsidRDefault="00000000" w:rsidP="00E85B5B">
      <w:pPr>
        <w:rPr>
          <w:rFonts w:eastAsiaTheme="minorEastAsia"/>
        </w:rPr>
      </w:pPr>
      <w:r>
        <w:t xml:space="preserve">So the first layer already sees the concatenated pair </w:t>
      </w:r>
      <m:oMath>
        <m:box>
          <m:boxPr>
            <m:ctrlPr>
              <w:rPr>
                <w:rFonts w:ascii="Cambria Math" w:hAnsi="Cambria Math"/>
              </w:rPr>
            </m:ctrlPr>
          </m:boxPr>
          <m:e>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of dimension </w:t>
      </w:r>
      <m:oMath>
        <m:box>
          <m:boxPr>
            <m:ctrlPr>
              <w:rPr>
                <w:rFonts w:ascii="Cambria Math" w:hAnsi="Cambria Math"/>
              </w:rPr>
            </m:ctrlPr>
          </m:boxPr>
          <m:e>
            <m:r>
              <m:rPr>
                <m:sty m:val="p"/>
              </m:rPr>
              <w:rPr>
                <w:rFonts w:ascii="Cambria Math" w:hAnsi="Cambria Math"/>
              </w:rPr>
              <m:t>2</m:t>
            </m:r>
            <m:r>
              <w:rPr>
                <w:rFonts w:ascii="Cambria Math" w:hAnsi="Cambria Math"/>
              </w:rPr>
              <m:t>d</m:t>
            </m:r>
          </m:e>
        </m:box>
      </m:oMath>
      <w:r>
        <w:t xml:space="preserve"> in the single-context </w:t>
      </w:r>
      <w:r>
        <w:rPr>
          <w:rFonts w:ascii="Consolas" w:hAnsi="Consolas"/>
        </w:rPr>
        <w:t>ScalarPotential</w:t>
      </w:r>
      <w:r>
        <w:t xml:space="preserve">, and dimension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e>
        </m:box>
      </m:oMath>
      <w:r>
        <w:t xml:space="preserve"> once the K-EMA bank is concatenated with </w:t>
      </w:r>
      <m:oMath>
        <m:box>
          <m:boxPr>
            <m:ctrlPr>
              <w:rPr>
                <w:rFonts w:ascii="Cambria Math" w:hAnsi="Cambria Math"/>
              </w:rPr>
            </m:ctrlPr>
          </m:boxPr>
          <m:e>
            <m:r>
              <w:rPr>
                <w:rFonts w:ascii="Cambria Math" w:hAnsi="Cambria Math"/>
              </w:rPr>
              <m:t>h</m:t>
            </m:r>
          </m:e>
        </m:box>
      </m:oMath>
      <w:r>
        <w:t xml:space="preserve"> in </w:t>
      </w:r>
      <w:r>
        <w:rPr>
          <w:rFonts w:ascii="Consolas" w:hAnsi="Consolas"/>
        </w:rPr>
        <w:t>ScalarPotentialMultiXi</w:t>
      </w:r>
      <w:r>
        <w:t xml:space="preserve">. The quantity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w:t>
      </w:r>
      <w:r>
        <w:rPr>
          <w:rFonts w:ascii="Consolas" w:hAnsi="Consolas"/>
        </w:rPr>
        <w:t>v_hidden</w:t>
      </w:r>
      <w:r>
        <w:t xml:space="preserve">) is the width of the GELU stack that follows that first map, not the embedding width </w:t>
      </w:r>
      <m:oMath>
        <m:box>
          <m:boxPr>
            <m:ctrlPr>
              <w:rPr>
                <w:rFonts w:ascii="Cambria Math" w:hAnsi="Cambria Math"/>
              </w:rPr>
            </m:ctrlPr>
          </m:boxPr>
          <m:e>
            <m:r>
              <w:rPr>
                <w:rFonts w:ascii="Cambria Math" w:hAnsi="Cambria Math"/>
              </w:rPr>
              <m:t>d</m:t>
            </m:r>
          </m:e>
        </m:box>
      </m:oMath>
      <w:r>
        <w:t>.</w:t>
      </w:r>
    </w:p>
    <w:p w14:paraId="528D67DA" w14:textId="77777777" w:rsidR="00C93BBD" w:rsidRDefault="00000000">
      <w:r>
        <w:t xml:space="preserve">The first linear map of </w:t>
      </w:r>
      <w:r>
        <w:rPr>
          <w:rFonts w:ascii="Consolas" w:hAnsi="Consolas"/>
        </w:rPr>
        <w:t>ScalarPotential</w:t>
      </w:r>
      <w:r>
        <w:t xml:space="preserve"> therefore has shape </w:t>
      </w:r>
      <m:oMath>
        <m:box>
          <m:boxPr>
            <m:ctrlPr>
              <w:rPr>
                <w:rFonts w:ascii="Cambria Math" w:hAnsi="Cambria Math"/>
              </w:rPr>
            </m:ctrlPr>
          </m:boxPr>
          <m:e>
            <m:r>
              <m:rPr>
                <m:sty m:val="p"/>
              </m:rPr>
              <w:rPr>
                <w:rFonts w:ascii="Cambria Math" w:hAnsi="Cambria Math"/>
              </w:rPr>
              <m:t>2</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In the TinyStories scale-up this is a map </w:t>
      </w:r>
      <m:oMath>
        <m:box>
          <m:boxPr>
            <m:ctrlPr>
              <w:rPr>
                <w:rFonts w:ascii="Cambria Math" w:hAnsi="Cambria Math"/>
              </w:rPr>
            </m:ctrlPr>
          </m:boxPr>
          <m:e>
            <m:r>
              <m:rPr>
                <m:sty m:val="p"/>
              </m:rPr>
              <w:rPr>
                <w:rFonts w:ascii="Cambria Math" w:hAnsi="Cambria Math"/>
              </w:rPr>
              <m:t>512→1024</m:t>
            </m:r>
          </m:e>
        </m:box>
      </m:oMath>
      <w:r>
        <w:t xml:space="preserve"> when </w:t>
      </w:r>
      <m:oMath>
        <m:box>
          <m:boxPr>
            <m:ctrlPr>
              <w:rPr>
                <w:rFonts w:ascii="Cambria Math" w:hAnsi="Cambria Math"/>
              </w:rPr>
            </m:ctrlPr>
          </m:boxPr>
          <m:e>
            <m:r>
              <w:rPr>
                <w:rFonts w:ascii="Cambria Math" w:hAnsi="Cambria Math"/>
              </w:rPr>
              <m:t>d</m:t>
            </m:r>
            <m:r>
              <m:rPr>
                <m:sty m:val="p"/>
              </m:rPr>
              <w:rPr>
                <w:rFonts w:ascii="Cambria Math" w:hAnsi="Cambria Math"/>
              </w:rPr>
              <m:t>=256</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=1024</m:t>
            </m:r>
          </m:e>
        </m:box>
      </m:oMath>
      <w:r>
        <w:t xml:space="preserve">. That is only a factor of two above the concatenated input, which is an </w:t>
      </w:r>
      <w:r>
        <w:lastRenderedPageBreak/>
        <w:t xml:space="preserve">ordinary expansion for a feed-forward network, not an accidentally oversized hidden layer. The multi-channel module </w:t>
      </w:r>
      <w:r>
        <w:rPr>
          <w:rFonts w:ascii="Consolas" w:hAnsi="Consolas"/>
        </w:rPr>
        <w:t>ScalarPotentialMultiXi</w:t>
      </w:r>
      <w:r>
        <w:t xml:space="preserve"> widens only that first map, to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and leaves the rest of the GELU stack at width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How the K-EMA bank is consumed is taken up in the next subsection; the point of the present note is why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itself is chosen larger than </w:t>
      </w:r>
      <m:oMath>
        <m:box>
          <m:boxPr>
            <m:ctrlPr>
              <w:rPr>
                <w:rFonts w:ascii="Cambria Math" w:hAnsi="Cambria Math"/>
              </w:rPr>
            </m:ctrlPr>
          </m:boxPr>
          <m:e>
            <m:r>
              <w:rPr>
                <w:rFonts w:ascii="Cambria Math" w:hAnsi="Cambria Math"/>
              </w:rPr>
              <m:t>d</m:t>
            </m:r>
          </m:e>
        </m:box>
      </m:oMath>
      <w:r>
        <w:t>.</w:t>
      </w:r>
    </w:p>
    <w:p w14:paraId="15D5E88B" w14:textId="77777777" w:rsidR="00C93BBD" w:rsidRDefault="00000000">
      <w:r>
        <w:t xml:space="preserve">The scalar potential is asked to define a complicated landscape on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many wells, saddles, and a context-dependent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 network that mapped </w:t>
      </w:r>
      <m:oMath>
        <m:box>
          <m:boxPr>
            <m:ctrlPr>
              <w:rPr>
                <w:rFonts w:ascii="Cambria Math" w:hAnsi="Cambria Math"/>
              </w:rPr>
            </m:ctrlPr>
          </m:boxPr>
          <m:e>
            <m:r>
              <m:rPr>
                <m:sty m:val="p"/>
              </m:rPr>
              <w:rPr>
                <w:rFonts w:ascii="Cambria Math" w:hAnsi="Cambria Math"/>
              </w:rPr>
              <m:t>2</m:t>
            </m:r>
            <m:r>
              <w:rPr>
                <w:rFonts w:ascii="Cambria Math" w:hAnsi="Cambria Math"/>
              </w:rPr>
              <m:t>d</m:t>
            </m:r>
          </m:e>
        </m:box>
      </m:oMath>
      <w:r>
        <w:t xml:space="preserve"> (or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e>
        </m:box>
      </m:oMath>
      <w:r>
        <w:t xml:space="preserve">) down to a hidden width of order </w:t>
      </w:r>
      <m:oMath>
        <m:box>
          <m:boxPr>
            <m:ctrlPr>
              <w:rPr>
                <w:rFonts w:ascii="Cambria Math" w:hAnsi="Cambria Math"/>
              </w:rPr>
            </m:ctrlPr>
          </m:boxPr>
          <m:e>
            <m:r>
              <w:rPr>
                <w:rFonts w:ascii="Cambria Math" w:hAnsi="Cambria Math"/>
              </w:rPr>
              <m:t>d</m:t>
            </m:r>
          </m:e>
        </m:box>
      </m:oMath>
      <w:r>
        <w:t xml:space="preserve"> and then to a single energy would be a severe bottleneck. Universal-approximation heuristics for a single hidden layer say that the hidden width should be at least the input dimension if the target function is allowed to be even moderately oscillatory. Here the target is worse than a generic function of </w:t>
      </w:r>
      <m:oMath>
        <m:box>
          <m:boxPr>
            <m:ctrlPr>
              <w:rPr>
                <w:rFonts w:ascii="Cambria Math" w:hAnsi="Cambria Math"/>
              </w:rPr>
            </m:ctrlPr>
          </m:boxPr>
          <m:e>
            <m:r>
              <w:rPr>
                <w:rFonts w:ascii="Cambria Math" w:hAnsi="Cambria Math"/>
              </w:rPr>
              <m:t>h</m:t>
            </m:r>
          </m:e>
        </m:box>
      </m:oMath>
      <w:r>
        <w:t xml:space="preserve">: it must also change with </w:t>
      </w:r>
      <m:oMath>
        <m:box>
          <m:boxPr>
            <m:ctrlPr>
              <w:rPr>
                <w:rFonts w:ascii="Cambria Math" w:hAnsi="Cambria Math"/>
              </w:rPr>
            </m:ctrlPr>
          </m:boxPr>
          <m:e>
            <m:r>
              <w:rPr>
                <w:rFonts w:ascii="Cambria Math" w:hAnsi="Cambria Math"/>
              </w:rPr>
              <m:t>ξ</m:t>
            </m:r>
          </m:e>
        </m:box>
      </m:oMath>
      <w:r>
        <w:t xml:space="preserve">, and the integrator trains through the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rather than through the scalar value alone. If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is comparable to </w:t>
      </w:r>
      <m:oMath>
        <m:box>
          <m:boxPr>
            <m:ctrlPr>
              <w:rPr>
                <w:rFonts w:ascii="Cambria Math" w:hAnsi="Cambria Math"/>
              </w:rPr>
            </m:ctrlPr>
          </m:boxPr>
          <m:e>
            <m:r>
              <w:rPr>
                <w:rFonts w:ascii="Cambria Math" w:hAnsi="Cambria Math"/>
              </w:rPr>
              <m:t>d</m:t>
            </m:r>
          </m:e>
        </m:box>
      </m:oMath>
      <w:r>
        <w:t xml:space="preserve">, that gradient tends to be too smooth, in effect low-rank as a map of </w:t>
      </w:r>
      <m:oMath>
        <m:box>
          <m:boxPr>
            <m:ctrlPr>
              <w:rPr>
                <w:rFonts w:ascii="Cambria Math" w:hAnsi="Cambria Math"/>
              </w:rPr>
            </m:ctrlPr>
          </m:boxPr>
          <m:e>
            <m:r>
              <w:rPr>
                <w:rFonts w:ascii="Cambria Math" w:hAnsi="Cambria Math"/>
              </w:rPr>
              <m:t>h</m:t>
            </m:r>
          </m:e>
        </m:box>
      </m:oMath>
      <w:r>
        <w:t>, and the force cannot steer particles into distinct semantic basins.</w:t>
      </w:r>
    </w:p>
    <w:p w14:paraId="4A46E7E0" w14:textId="77777777" w:rsidR="00C93BBD" w:rsidRDefault="00000000">
      <w:r>
        <w:t xml:space="preserve">The same expansion appears in a Transformer for a different reason. Self-attention works at width </w:t>
      </w:r>
      <m:oMath>
        <m:box>
          <m:boxPr>
            <m:ctrlPr>
              <w:rPr>
                <w:rFonts w:ascii="Cambria Math" w:hAnsi="Cambria Math"/>
              </w:rPr>
            </m:ctrlPr>
          </m:boxPr>
          <m:e>
            <m:r>
              <w:rPr>
                <w:rFonts w:ascii="Cambria Math" w:hAnsi="Cambria Math"/>
              </w:rPr>
              <m:t>d</m:t>
            </m:r>
          </m:e>
        </m:box>
      </m:oMath>
      <w:r>
        <w:t xml:space="preserve">, but the position-wise feed-forward sublayer typically expands to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before writing back. In the SPLM family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is the analogue of that feed-forward: it is the learned nonlinearity that shapes the trajectory of </w:t>
      </w:r>
      <m:oMath>
        <m:box>
          <m:boxPr>
            <m:ctrlPr>
              <w:rPr>
                <w:rFonts w:ascii="Cambria Math" w:hAnsi="Cambria Math"/>
              </w:rPr>
            </m:ctrlPr>
          </m:boxPr>
          <m:e>
            <m:r>
              <w:rPr>
                <w:rFonts w:ascii="Cambria Math" w:hAnsi="Cambria Math"/>
              </w:rPr>
              <m:t>h</m:t>
            </m:r>
          </m:e>
        </m:box>
      </m:oMath>
      <w:r>
        <w:t xml:space="preserve">. Setting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to about </w:t>
      </w:r>
      <m:oMath>
        <m:box>
          <m:boxPr>
            <m:ctrlPr>
              <w:rPr>
                <w:rFonts w:ascii="Cambria Math" w:hAnsi="Cambria Math"/>
              </w:rPr>
            </m:ctrlPr>
          </m:boxPr>
          <m:e>
            <m:r>
              <m:rPr>
                <m:sty m:val="p"/>
              </m:rPr>
              <w:rPr>
                <w:rFonts w:ascii="Cambria Math" w:hAnsi="Cambria Math"/>
              </w:rPr>
              <m:t>3</m:t>
            </m:r>
            <m:r>
              <w:rPr>
                <w:rFonts w:ascii="Cambria Math" w:hAnsi="Cambria Math"/>
              </w:rPr>
              <m:t>d</m:t>
            </m:r>
          </m:e>
        </m:box>
      </m:oMath>
      <w:r>
        <w:t xml:space="preserve"> or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is therefore following an established capacity pattern, not matching the embedding width for a misplaced sense of fairness. Typical pairings in this repository are:</w:t>
      </w:r>
    </w:p>
    <w:p w14:paraId="1D3A4BE0" w14:textId="77777777" w:rsidR="00C93BBD" w:rsidRDefault="00000000">
      <w:r>
        <w:t xml:space="preserve">So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&gt;</m:t>
            </m:r>
            <m:r>
              <w:rPr>
                <w:rFonts w:ascii="Cambria Math" w:hAnsi="Cambria Math"/>
              </w:rPr>
              <m:t>d</m:t>
            </m:r>
          </m:e>
        </m:box>
      </m:oMath>
      <w:r>
        <w:t xml:space="preserve"> is the expected operating point. Setting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m:t>
            </m:r>
            <m:r>
              <w:rPr>
                <w:rFonts w:ascii="Cambria Math" w:hAnsi="Cambria Math"/>
              </w:rPr>
              <m:t>d</m:t>
            </m:r>
          </m:e>
        </m:box>
      </m:oMath>
      <w:r>
        <w:t xml:space="preserve"> is not a parameter-matched control of the landscape; it usually underfits the potential, and the force that the integrator sees is too impoverished to be compared with a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run on equal terms. The Helmholtz H1.5 cells that narrowed </w:t>
      </w:r>
      <w:r>
        <w:rPr>
          <w:rFonts w:ascii="Consolas" w:hAnsi="Consolas"/>
        </w:rPr>
        <w:t>v_hidden</w:t>
      </w:r>
      <w:r>
        <w:t xml:space="preserve"> did so as a FLOP experiment, not as a claim that the embedding width is the natural width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607D9F7F" w14:textId="77777777" w:rsidR="00C93BBD" w:rsidRPr="00E85B5B" w:rsidRDefault="00C93BBD" w:rsidP="00E85B5B"/>
    <w:p w14:paraId="4E5CC425" w14:textId="77777777" w:rsidR="00C93BBD" w:rsidRDefault="00000000" w:rsidP="007905A7">
      <w:pPr>
        <w:pStyle w:val="Heading3"/>
        <w:rPr>
          <w:rFonts w:eastAsiaTheme="minorEastAsia"/>
        </w:rPr>
      </w:pPr>
      <w:bookmarkStart w:id="34" w:name="_Toc239712607"/>
      <w:bookmarkStart w:id="35" w:name="_Toc240119391"/>
      <w:r>
        <w:t xml:space="preserve">How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bookmarkEnd w:id="34"/>
      <w:bookmarkEnd w:id="35"/>
    </w:p>
    <w:p w14:paraId="57DDA6B1" w14:textId="77777777" w:rsidR="00C93BBD" w:rsidRDefault="00C93BBD" w:rsidP="00F05F79">
      <w:pPr>
        <w:rPr>
          <w:rFonts w:eastAsiaTheme="minorEastAsia"/>
        </w:rPr>
      </w:pPr>
    </w:p>
    <w:p w14:paraId="6D50B9AD" w14:textId="77777777" w:rsidR="00C93BBD" w:rsidRDefault="00000000" w:rsidP="00F05F79">
      <w:pPr>
        <w:rPr>
          <w:rFonts w:eastAsiaTheme="minorEastAsia"/>
        </w:rPr>
      </w:pPr>
      <w:r>
        <w:t xml:space="preserve">The original energy is defined as MLP (GELU stack) 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Pr>
          <w:rFonts w:eastAsiaTheme="minorEastAsia"/>
        </w:rPr>
        <w:t>Multi-</w:t>
      </w:r>
      <m:oMath>
        <m:r>
          <w:rPr>
            <w:rFonts w:ascii="Cambria Math" w:eastAsiaTheme="minorEastAsia" w:hAnsi="Cambria Math"/>
          </w:rPr>
          <m:t>ξ</m:t>
        </m:r>
      </m:oMath>
      <w:r>
        <w:rPr>
          <w:rFonts w:eastAsiaTheme="minorEastAsia"/>
        </w:rPr>
        <w:t xml:space="preserve"> only widens the first linear map:</w:t>
      </w:r>
    </w:p>
    <w:p w14:paraId="4CF018D5" w14:textId="77777777" w:rsidR="00C93BBD" w:rsidRDefault="00C93BBD" w:rsidP="00F05F79">
      <w:pPr>
        <w:rPr>
          <w:rFonts w:eastAsiaTheme="minorEastAsia"/>
        </w:rPr>
      </w:pPr>
    </w:p>
    <w:p w14:paraId="31F58E4E" w14:textId="77777777" w:rsidR="00C93BBD" w:rsidRDefault="0000000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m:rPr>
            <m:scr m:val="double-struck"/>
          </m:rPr>
          <w:rPr>
            <w:rFonts w:ascii="Cambria Math"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34610188" w14:textId="77777777" w:rsidR="00C93BBD" w:rsidRDefault="00000000"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Pr>
          <w:rFonts w:eastAsiaTheme="minorEastAsia"/>
        </w:rPr>
        <w:t xml:space="preserve">, while </w:t>
      </w:r>
      <w:r w:rsidRPr="00A13F60">
        <w:rPr>
          <w:rFonts w:ascii="Consolas" w:eastAsiaTheme="minorEastAsia" w:hAnsi="Consolas" w:cs="Consolas"/>
          <w:sz w:val="17"/>
          <w:szCs w:val="17"/>
        </w:rPr>
        <w:t>ScalarPotentialMultiXi</w:t>
      </w:r>
      <w:r>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Pr>
          <w:rFonts w:eastAsiaTheme="minorEastAsia"/>
        </w:rPr>
        <w:t xml:space="preserve"> (in code </w:t>
      </w:r>
      <w:r w:rsidRPr="00E740D4">
        <w:rPr>
          <w:rFonts w:ascii="Consolas" w:eastAsiaTheme="minorEastAsia" w:hAnsi="Consolas" w:cs="Consolas"/>
          <w:sz w:val="17"/>
          <w:szCs w:val="17"/>
        </w:rPr>
        <w:t>v_hidden</w:t>
      </w:r>
      <w:r>
        <w:rPr>
          <w:rFonts w:eastAsiaTheme="minorEastAsia"/>
        </w:rPr>
        <w:t xml:space="preserve">) typically </w:t>
      </w:r>
      <m:oMath>
        <m:r>
          <w:rPr>
            <w:rFonts w:ascii="Cambria Math" w:eastAsiaTheme="minorEastAsia" w:hAnsi="Cambria Math"/>
          </w:rPr>
          <m:t>3d-4d</m:t>
        </m:r>
      </m:oMath>
      <w:r>
        <w:rPr>
          <w:rFonts w:eastAsiaTheme="minorEastAsia"/>
        </w:rPr>
        <w:t xml:space="preserve"> e.g. With TinyStories we set </w:t>
      </w:r>
      <m:oMath>
        <m:r>
          <w:rPr>
            <w:rFonts w:ascii="Cambria Math" w:eastAsiaTheme="minorEastAsia" w:hAnsi="Cambria Math"/>
          </w:rPr>
          <m:t>d = 256</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’s are </w:t>
      </w:r>
      <m:oMath>
        <m:r>
          <w:rPr>
            <w:rFonts w:ascii="Cambria Math" w:eastAsiaTheme="minorEastAsia" w:hAnsi="Cambria Math"/>
          </w:rPr>
          <m:t>K</m:t>
        </m:r>
      </m:oMath>
      <w:r>
        <w:rPr>
          <w:rFonts w:eastAsiaTheme="minorEastAsia"/>
        </w:rPr>
        <w:t xml:space="preserve"> scalars.</w:t>
      </w:r>
    </w:p>
    <w:p w14:paraId="088484EB" w14:textId="77777777" w:rsidR="00C93BBD" w:rsidRDefault="00C93BBD" w:rsidP="00F05F79">
      <w:pPr>
        <w:rPr>
          <w:rFonts w:eastAsiaTheme="minorEastAsia"/>
        </w:rPr>
      </w:pPr>
    </w:p>
    <w:p w14:paraId="5EEBDBEC" w14:textId="77777777" w:rsidR="00C93BBD" w:rsidRDefault="00000000"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use </w:t>
      </w:r>
      <w:r w:rsidRPr="002A079A">
        <w:rPr>
          <w:rFonts w:eastAsiaTheme="minorEastAsia"/>
          <w:i/>
          <w:iCs/>
        </w:rPr>
        <w:t>cross-horizon correlations</w:t>
      </w:r>
      <w:r>
        <w:rPr>
          <w:rFonts w:eastAsiaTheme="minorEastAsia"/>
        </w:rPr>
        <w:t xml:space="preserve"> (short-timescale </w:t>
      </w:r>
      <m:oMath>
        <m:r>
          <w:rPr>
            <w:rFonts w:ascii="Cambria Math" w:eastAsiaTheme="minorEastAsia" w:hAnsi="Cambria Math"/>
          </w:rPr>
          <m:t>ξ</m:t>
        </m:r>
      </m:oMath>
      <w:r>
        <w:rPr>
          <w:rFonts w:eastAsiaTheme="minorEastAsia"/>
        </w:rPr>
        <w:t xml:space="preserve"> vs long-timescale </w:t>
      </w:r>
      <m:oMath>
        <m:r>
          <w:rPr>
            <w:rFonts w:ascii="Cambria Math" w:eastAsiaTheme="minorEastAsia" w:hAnsi="Cambria Math"/>
          </w:rPr>
          <m:t>ξ</m:t>
        </m:r>
      </m:oMath>
      <w:r>
        <w:rPr>
          <w:rFonts w:eastAsiaTheme="minorEastAsia"/>
        </w:rPr>
        <w:t xml:space="preserve"> vs current </w:t>
      </w:r>
      <m:oMath>
        <m:r>
          <w:rPr>
            <w:rFonts w:ascii="Cambria Math" w:eastAsiaTheme="minorEastAsia" w:hAnsi="Cambria Math"/>
          </w:rPr>
          <m:t>h</m:t>
        </m:r>
      </m:oMath>
      <w:r>
        <w:rPr>
          <w:rFonts w:eastAsiaTheme="minorEastAsia"/>
        </w:rPr>
        <w:t>). That is why the MLP reference on TinyStories benefit</w:t>
      </w:r>
      <w:r>
        <w:rPr>
          <w:rFonts w:eastAsiaTheme="minorEastAsia"/>
          <w:i/>
          <w:iCs/>
        </w:rPr>
        <w:t>s</w:t>
      </w:r>
      <w:r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Pr>
          <w:rFonts w:eastAsiaTheme="minorEastAsia"/>
        </w:rPr>
        <w:t xml:space="preserve"> relative to single-</w:t>
      </w:r>
      <w:r w:rsidRPr="00CE5353">
        <w:rPr>
          <w:rFonts w:ascii="Cambria Math" w:eastAsiaTheme="minorEastAsia" w:hAnsi="Cambria Math"/>
          <w:i/>
        </w:rPr>
        <w:t xml:space="preserve"> </w:t>
      </w:r>
      <m:oMath>
        <m:r>
          <w:rPr>
            <w:rFonts w:ascii="Cambria Math" w:eastAsiaTheme="minorEastAsia" w:hAnsi="Cambria Math"/>
          </w:rPr>
          <m:t>ξ</m:t>
        </m:r>
      </m:oMath>
      <w:r w:rsidRPr="00CE5353">
        <w:rPr>
          <w:rFonts w:eastAsiaTheme="minorEastAsia"/>
          <w:iCs/>
        </w:rPr>
        <w:t xml:space="preserve"> where</w:t>
      </w:r>
      <w:r>
        <w:rPr>
          <w:rFonts w:eastAsiaTheme="minorEastAsia"/>
          <w:iCs/>
        </w:rPr>
        <w:t xml:space="preserve">as a diagonal-structured well bank often does not (in [1]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Pr>
          <w:rFonts w:eastAsiaTheme="minorEastAsia"/>
        </w:rPr>
        <w:t>).</w:t>
      </w:r>
    </w:p>
    <w:p w14:paraId="1960E18D" w14:textId="77777777" w:rsidR="00C93BBD" w:rsidRDefault="00C93BBD" w:rsidP="00F05F79">
      <w:pPr>
        <w:rPr>
          <w:rFonts w:eastAsiaTheme="minorEastAsia"/>
        </w:rPr>
      </w:pPr>
    </w:p>
    <w:p w14:paraId="34B99885" w14:textId="77777777" w:rsidR="00C93BBD" w:rsidRDefault="00C93BBD" w:rsidP="00F05F79">
      <w:pPr>
        <w:rPr>
          <w:rFonts w:eastAsiaTheme="minorEastAsia"/>
        </w:rPr>
      </w:pPr>
    </w:p>
    <w:p w14:paraId="4F1CE5EE" w14:textId="77777777" w:rsidR="00C93BBD" w:rsidRDefault="00C93BBD" w:rsidP="00F05F79">
      <w:pPr>
        <w:rPr>
          <w:rFonts w:eastAsiaTheme="minorEastAsia"/>
        </w:rPr>
      </w:pPr>
    </w:p>
    <w:p w14:paraId="22ADBD78" w14:textId="77777777" w:rsidR="00C93BBD" w:rsidRDefault="00000000" w:rsidP="00BC526A">
      <w:pPr>
        <w:pStyle w:val="Heading2"/>
        <w:rPr>
          <w:rFonts w:eastAsiaTheme="minorEastAsia"/>
        </w:rPr>
      </w:pPr>
      <w:bookmarkStart w:id="36" w:name="_Toc239712608"/>
      <w:bookmarkStart w:id="37" w:name="_Toc240119392"/>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bookmarkEnd w:id="36"/>
      <w:bookmarkEnd w:id="37"/>
    </w:p>
    <w:p w14:paraId="7E4A6E8B" w14:textId="77777777" w:rsidR="00C93BBD" w:rsidRDefault="00C93BBD" w:rsidP="00F05F79">
      <w:pPr>
        <w:rPr>
          <w:rFonts w:eastAsiaTheme="minorEastAsia"/>
        </w:rPr>
      </w:pPr>
    </w:p>
    <w:p w14:paraId="087FD56B" w14:textId="77777777" w:rsidR="00C93BBD" w:rsidRDefault="00000000" w:rsidP="00EA4EF9">
      <w:pPr>
        <w:rPr>
          <w:rFonts w:eastAsiaTheme="minorEastAsia"/>
        </w:rPr>
      </w:pPr>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 The multi-</w:t>
      </w:r>
      <m:oMath>
        <m:r>
          <w:rPr>
            <w:rFonts w:ascii="Cambria Math" w:eastAsiaTheme="minorEastAsia" w:hAnsi="Cambria Math"/>
          </w:rPr>
          <m:t>ξ</m:t>
        </m:r>
      </m:oMath>
      <w:r>
        <w:rPr>
          <w:rFonts w:eastAsiaTheme="minorEastAsia"/>
        </w:rPr>
        <w:t xml:space="preserve"> adapters do not use new geometry to incorporate the multiple channels in the well – they simply flatten the bank:</w:t>
      </w:r>
    </w:p>
    <w:p w14:paraId="2B2B145B" w14:textId="77777777" w:rsidR="00C93BBD" w:rsidRDefault="00C93BBD" w:rsidP="00EA4EF9">
      <w:pPr>
        <w:rPr>
          <w:rFonts w:eastAsiaTheme="minorEastAsia"/>
        </w:rPr>
      </w:pPr>
    </w:p>
    <w:p w14:paraId="2EB8C086" w14:textId="77777777" w:rsidR="00C93BBD" w:rsidRDefault="00000000"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m:t>
        </m:r>
        <m:r>
          <m:rPr>
            <m:sty m:val="p"/>
          </m:rPr>
          <w:rPr>
            <w:rFonts w:ascii="Cambria Math" w:eastAsiaTheme="minorEastAsia" w:hAnsi="Cambria Math"/>
          </w:rPr>
          <m:t>reshape</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Pr>
          <w:rFonts w:eastAsiaTheme="minorEastAsia"/>
        </w:rPr>
        <w:t xml:space="preserve"> ,  </w:t>
      </w:r>
      <m:oMath>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inner</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,h</m:t>
            </m:r>
          </m:e>
        </m:d>
      </m:oMath>
    </w:p>
    <w:p w14:paraId="00BEA9E1" w14:textId="77777777" w:rsidR="00C93BBD" w:rsidRDefault="00C93BBD" w:rsidP="00EA4EF9">
      <w:pPr>
        <w:rPr>
          <w:rFonts w:eastAsiaTheme="minorEastAsia"/>
        </w:rPr>
      </w:pPr>
    </w:p>
    <w:p w14:paraId="2D87BE02" w14:textId="77777777" w:rsidR="00C93BBD" w:rsidRPr="00671A62" w:rsidRDefault="00000000" w:rsidP="00EA4EF9">
      <w:pPr>
        <w:pStyle w:val="ListParagraph"/>
        <w:rPr>
          <w:rFonts w:eastAsiaTheme="minorEastAsia"/>
        </w:rPr>
      </w:pPr>
      <w:r>
        <w:lastRenderedPageBreak/>
        <w:t xml:space="preserve">• </w:t>
      </w:r>
      <w:r w:rsidRPr="009C0A39">
        <w:rPr>
          <w:rFonts w:ascii="Consolas" w:eastAsiaTheme="minorEastAsia" w:hAnsi="Consolas" w:cs="Consolas"/>
          <w:sz w:val="17"/>
          <w:szCs w:val="17"/>
        </w:rPr>
        <w:t>StructuredVThetaMultiXiAdapter</w:t>
      </w:r>
      <w:r>
        <w:rPr>
          <w:rFonts w:eastAsiaTheme="minorEastAsia"/>
        </w:rPr>
        <w:t xml:space="preserve"> – quadratic / LSE mixtures ; inner </w:t>
      </w:r>
      <w:r w:rsidRPr="00F57616">
        <w:rPr>
          <w:rFonts w:ascii="Consolas" w:eastAsiaTheme="minorEastAsia" w:hAnsi="Consolas" w:cs="Consolas"/>
          <w:sz w:val="17"/>
          <w:szCs w:val="17"/>
        </w:rPr>
        <w:t>xi_d = K_xi*d</w:t>
      </w:r>
      <w:r>
        <w:rPr>
          <w:rFonts w:eastAsiaTheme="minorEastAsia"/>
        </w:rPr>
        <w:t xml:space="preserve"> in code.</w:t>
      </w:r>
    </w:p>
    <w:p w14:paraId="4B911F14" w14:textId="77777777" w:rsidR="00C93BBD" w:rsidRDefault="00C93BBD" w:rsidP="00EA4EF9">
      <w:pPr>
        <w:rPr>
          <w:rFonts w:eastAsiaTheme="minorEastAsia"/>
        </w:rPr>
      </w:pPr>
    </w:p>
    <w:p w14:paraId="19622B21" w14:textId="77777777" w:rsidR="00C93BBD" w:rsidRDefault="00000000" w:rsidP="00EA4EF9">
      <w:pPr>
        <w:pStyle w:val="ListParagraph"/>
        <w:rPr>
          <w:rFonts w:eastAsiaTheme="minorEastAsia"/>
        </w:rPr>
      </w:pPr>
      <w:r>
        <w:t xml:space="preserve">• </w:t>
      </w:r>
      <w:r w:rsidRPr="00676DE2">
        <w:rPr>
          <w:rFonts w:ascii="Consolas" w:eastAsiaTheme="minorEastAsia" w:hAnsi="Consolas" w:cs="Consolas"/>
          <w:sz w:val="17"/>
          <w:szCs w:val="17"/>
        </w:rPr>
        <w:t>GaussianVThetaMultiXiAdapter</w:t>
      </w:r>
      <w:r>
        <w:rPr>
          <w:rFonts w:eastAsiaTheme="minorEastAsia"/>
        </w:rPr>
        <w:t xml:space="preserve"> – same flatten into </w:t>
      </w:r>
      <w:r w:rsidRPr="00676DE2">
        <w:rPr>
          <w:rFonts w:ascii="Consolas" w:eastAsiaTheme="minorEastAsia" w:hAnsi="Consolas" w:cs="Consolas"/>
          <w:sz w:val="17"/>
          <w:szCs w:val="17"/>
        </w:rPr>
        <w:t>mu_proj</w:t>
      </w:r>
      <w:r>
        <w:rPr>
          <w:rFonts w:eastAsiaTheme="minorEastAsia"/>
        </w:rPr>
        <w:t xml:space="preserve">, </w:t>
      </w:r>
      <w:r w:rsidRPr="00676DE2">
        <w:rPr>
          <w:rFonts w:ascii="Consolas" w:eastAsiaTheme="minorEastAsia" w:hAnsi="Consolas" w:cs="Consolas"/>
          <w:sz w:val="17"/>
          <w:szCs w:val="17"/>
        </w:rPr>
        <w:t>a_proj</w:t>
      </w:r>
      <w:r>
        <w:rPr>
          <w:rFonts w:eastAsiaTheme="minorEastAsia"/>
        </w:rPr>
        <w:t xml:space="preserve">, and </w:t>
      </w:r>
      <w:r w:rsidRPr="00676DE2">
        <w:rPr>
          <w:rFonts w:ascii="Consolas" w:eastAsiaTheme="minorEastAsia" w:hAnsi="Consolas" w:cs="Consolas"/>
          <w:sz w:val="17"/>
          <w:szCs w:val="17"/>
        </w:rPr>
        <w:t>w_proj</w:t>
      </w:r>
      <w:r>
        <w:rPr>
          <w:rFonts w:eastAsiaTheme="minorEastAsia"/>
        </w:rPr>
        <w:t xml:space="preserve">. </w:t>
      </w:r>
    </w:p>
    <w:p w14:paraId="661D5F83" w14:textId="77777777" w:rsidR="00C93BBD" w:rsidRPr="00676DE2" w:rsidRDefault="00C93BBD" w:rsidP="00EA4EF9">
      <w:pPr>
        <w:pStyle w:val="ListParagraph"/>
        <w:rPr>
          <w:rFonts w:eastAsiaTheme="minorEastAsia"/>
        </w:rPr>
      </w:pPr>
    </w:p>
    <w:p w14:paraId="0FE60C38" w14:textId="77777777" w:rsidR="00C93BBD" w:rsidRDefault="00C93BBD" w:rsidP="00EA4EF9">
      <w:pPr>
        <w:rPr>
          <w:rFonts w:eastAsiaTheme="minorEastAsia"/>
        </w:rPr>
      </w:pPr>
    </w:p>
    <w:p w14:paraId="076F7BD7" w14:textId="77777777" w:rsidR="00C93BBD" w:rsidRDefault="00000000" w:rsidP="00EA4EF9">
      <w:pPr>
        <w:rPr>
          <w:rFonts w:eastAsiaTheme="minorEastAsia"/>
        </w:rPr>
      </w:pPr>
      <w:r>
        <w:rPr>
          <w:rFonts w:eastAsiaTheme="minorEastAsia"/>
        </w:rPr>
        <w:t>Well centers (</w:t>
      </w:r>
      <w:r w:rsidRPr="00676DE2">
        <w:rPr>
          <w:rFonts w:ascii="Consolas" w:eastAsiaTheme="minorEastAsia" w:hAnsi="Consolas" w:cs="Consolas"/>
          <w:sz w:val="17"/>
          <w:szCs w:val="17"/>
        </w:rPr>
        <w:t>mu_proj</w:t>
      </w:r>
      <w:r>
        <w:rPr>
          <w:rFonts w:ascii="Consolas" w:eastAsiaTheme="minorEastAsia" w:hAnsi="Consolas" w:cs="Consolas"/>
          <w:sz w:val="17"/>
          <w:szCs w:val="17"/>
        </w:rPr>
        <w:t>)</w:t>
      </w:r>
      <w:r>
        <w:rPr>
          <w:rFonts w:eastAsiaTheme="minorEastAsia"/>
        </w:rPr>
        <w:t>, precisions (</w:t>
      </w:r>
      <w:r w:rsidRPr="00676DE2">
        <w:rPr>
          <w:rFonts w:ascii="Consolas" w:eastAsiaTheme="minorEastAsia" w:hAnsi="Consolas" w:cs="Consolas"/>
          <w:sz w:val="17"/>
          <w:szCs w:val="17"/>
        </w:rPr>
        <w:t>a_proj</w:t>
      </w:r>
      <w:r>
        <w:rPr>
          <w:rFonts w:eastAsiaTheme="minorEastAsia"/>
        </w:rPr>
        <w:t>), and mixture weights (</w:t>
      </w:r>
      <w:r w:rsidRPr="00676DE2">
        <w:rPr>
          <w:rFonts w:ascii="Consolas" w:eastAsiaTheme="minorEastAsia" w:hAnsi="Consolas" w:cs="Consolas"/>
          <w:sz w:val="17"/>
          <w:szCs w:val="17"/>
        </w:rPr>
        <w:t>w_proj</w:t>
      </w:r>
      <w:r>
        <w:rPr>
          <w:rFonts w:eastAsiaTheme="minorEastAsia"/>
        </w:rPr>
        <w:t xml:space="preserve">) then become </w:t>
      </w:r>
      <w:r w:rsidRPr="0097264B">
        <w:rPr>
          <w:rFonts w:eastAsiaTheme="minorEastAsia"/>
        </w:rPr>
        <w:t>linear functions of the concatenated multi-resolution summary</w:t>
      </w:r>
      <w:r>
        <w:rPr>
          <w:rFonts w:eastAsiaTheme="minorEastAsia"/>
        </w:rPr>
        <w:t xml:space="preserve">. A later variant, </w:t>
      </w:r>
      <w:r w:rsidRPr="00C95830">
        <w:rPr>
          <w:rFonts w:ascii="Consolas" w:eastAsiaTheme="minorEastAsia" w:hAnsi="Consolas" w:cs="Consolas"/>
          <w:sz w:val="17"/>
          <w:szCs w:val="17"/>
        </w:rPr>
        <w:t>MultiContextGaussianVTheta</w:t>
      </w:r>
      <w:r>
        <w:rPr>
          <w:rFonts w:eastAsiaTheme="minorEastAsia"/>
        </w:rPr>
        <w:t xml:space="preserve">, gives each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oMath>
      <w:r>
        <w:rPr>
          <w:rFonts w:eastAsiaTheme="minorEastAsia"/>
        </w:rPr>
        <w:t xml:space="preserve"> its own well bank and sums </w:t>
      </w:r>
      <m:oMath>
        <m:r>
          <w:rPr>
            <w:rFonts w:ascii="Cambria Math" w:eastAsiaTheme="minorEastAsia" w:hAnsi="Cambria Math"/>
          </w:rPr>
          <m:t>V =</m:t>
        </m:r>
        <m:nary>
          <m:naryPr>
            <m:chr m:val="∑"/>
            <m:limLoc m:val="undOvr"/>
            <m:supHide m:val="1"/>
            <m:ctrlPr>
              <w:rPr>
                <w:rFonts w:ascii="Cambria Math" w:eastAsiaTheme="minorEastAsia" w:hAnsi="Cambria Math"/>
                <w:i/>
              </w:rPr>
            </m:ctrlPr>
          </m:naryPr>
          <m:sub>
            <m:r>
              <w:rPr>
                <w:rFonts w:ascii="Cambria Math" w:eastAsiaTheme="minorEastAsia" w:hAnsi="Cambria Math"/>
              </w:rPr>
              <m:t>k</m:t>
            </m:r>
          </m: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 so attractors are not forced to read a blurred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Pr>
          <w:rFonts w:eastAsiaTheme="minorEastAsia"/>
        </w:rPr>
        <w:t xml:space="preserve"> vector. That is an expressivity choice on top of K-EMA, not a change to the EMA itself.  Specifically, the </w:t>
      </w:r>
      <m:oMath>
        <m:r>
          <w:rPr>
            <w:rFonts w:ascii="Cambria Math" w:eastAsiaTheme="minorEastAsia" w:hAnsi="Cambria Math"/>
          </w:rPr>
          <m:t>k</m:t>
        </m:r>
      </m:oMath>
      <w:r>
        <w:rPr>
          <w:rFonts w:eastAsiaTheme="minorEastAsia"/>
        </w:rPr>
        <w:t xml:space="preserve">-th well bank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Pr>
          <w:rFonts w:eastAsiaTheme="minorEastAsia"/>
        </w:rPr>
        <w:t xml:space="preserve"> in </w:t>
      </w:r>
      <w:r w:rsidRPr="00C95830">
        <w:rPr>
          <w:rFonts w:ascii="Consolas" w:eastAsiaTheme="minorEastAsia" w:hAnsi="Consolas" w:cs="Consolas"/>
          <w:sz w:val="17"/>
          <w:szCs w:val="17"/>
        </w:rPr>
        <w:t>MultiContextGaussianVTheta</w:t>
      </w:r>
      <w:r>
        <w:rPr>
          <w:rFonts w:eastAsiaTheme="minorEastAsia"/>
        </w:rPr>
        <w:t xml:space="preserve"> is given as </w:t>
      </w:r>
    </w:p>
    <w:p w14:paraId="5AEEA31F" w14:textId="77777777" w:rsidR="00C93BBD" w:rsidRDefault="00C93BBD" w:rsidP="00EA4EF9">
      <w:pPr>
        <w:rPr>
          <w:rFonts w:eastAsiaTheme="minorEastAsia"/>
        </w:rPr>
      </w:pPr>
    </w:p>
    <w:p w14:paraId="0FF4C910" w14:textId="77777777" w:rsidR="00C93BBD" w:rsidRDefault="00000000"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(mcgvt.1)</w:t>
      </w:r>
    </w:p>
    <w:p w14:paraId="3CD21466" w14:textId="77777777" w:rsidR="00C93BBD" w:rsidRDefault="00C93BBD" w:rsidP="00EA4EF9">
      <w:pPr>
        <w:rPr>
          <w:rFonts w:eastAsiaTheme="minorEastAsia"/>
        </w:rPr>
      </w:pPr>
    </w:p>
    <w:p w14:paraId="62655FA0" w14:textId="77777777" w:rsidR="00C93BBD" w:rsidRDefault="00000000" w:rsidP="00EA4EF9">
      <w:pPr>
        <w:rPr>
          <w:rFonts w:eastAsiaTheme="minorEastAsia"/>
        </w:rPr>
      </w:pPr>
      <w:r>
        <w:rPr>
          <w:rFonts w:eastAsiaTheme="minorEastAsia"/>
        </w:rPr>
        <w:t xml:space="preserve">The </w:t>
      </w:r>
      <m:oMath>
        <m:r>
          <w:rPr>
            <w:rFonts w:ascii="Cambria Math" w:eastAsiaTheme="minorEastAsia" w:hAnsi="Cambria Math"/>
          </w:rPr>
          <m:t>j</m:t>
        </m:r>
      </m:oMath>
      <w:r>
        <w:rPr>
          <w:rFonts w:eastAsiaTheme="minorEastAsia"/>
        </w:rPr>
        <w:t xml:space="preserve">-th  term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Pr>
          <w:rFonts w:eastAsiaTheme="minorEastAsia"/>
        </w:rPr>
        <w:t xml:space="preserve"> in the RHS of (mcgvt.1) represents a single Gaussian well:</w:t>
      </w:r>
    </w:p>
    <w:p w14:paraId="66125D68" w14:textId="77777777" w:rsidR="00C93BBD" w:rsidRDefault="00C93BBD" w:rsidP="00EA4EF9">
      <w:pPr>
        <w:rPr>
          <w:rFonts w:eastAsiaTheme="minorEastAsia"/>
        </w:rPr>
      </w:pPr>
    </w:p>
    <w:p w14:paraId="69964847" w14:textId="77777777" w:rsidR="00C93BBD" w:rsidRDefault="00000000" w:rsidP="00EA4EF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e>
        </m:d>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sup>
                    <m:r>
                      <w:rPr>
                        <w:rFonts w:ascii="Cambria Math" w:eastAsiaTheme="minorEastAsia" w:hAnsi="Cambria Math"/>
                      </w:rPr>
                      <m:t>T</m:t>
                    </m:r>
                  </m:sup>
                </m:sSup>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d>
          </m:e>
        </m:func>
      </m:oMath>
      <w:r>
        <w:rPr>
          <w:rFonts w:eastAsiaTheme="minorEastAsia"/>
        </w:rPr>
        <w:t xml:space="preserve">     (mcgvt.2)</w:t>
      </w:r>
    </w:p>
    <w:p w14:paraId="455FC268" w14:textId="77777777" w:rsidR="00C93BBD" w:rsidRPr="00676DE2" w:rsidRDefault="00C93BBD" w:rsidP="00EA4EF9">
      <w:pPr>
        <w:rPr>
          <w:rFonts w:eastAsiaTheme="minorEastAsia"/>
        </w:rPr>
      </w:pPr>
    </w:p>
    <w:p w14:paraId="05B1D7DE" w14:textId="77777777" w:rsidR="00C93BBD" w:rsidRDefault="00000000" w:rsidP="00F05F79">
      <w:pPr>
        <w:rPr>
          <w:rFonts w:eastAsiaTheme="minorEastAsia"/>
        </w:rPr>
      </w:pPr>
      <w:r>
        <w:rPr>
          <w:rFonts w:eastAsiaTheme="minorEastAsia"/>
        </w:rPr>
        <w:t xml:space="preserve">Finally, the total structured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abbreviated with </w:t>
      </w:r>
      <m:oMath>
        <m:r>
          <w:rPr>
            <w:rFonts w:ascii="Cambria Math" w:eastAsiaTheme="minorEastAsia" w:hAnsi="Cambria Math"/>
          </w:rPr>
          <m:t>V</m:t>
        </m:r>
      </m:oMath>
      <w:r>
        <w:rPr>
          <w:rFonts w:eastAsiaTheme="minorEastAsia"/>
        </w:rPr>
        <w:t>, is the sum of all banks:</w:t>
      </w:r>
    </w:p>
    <w:p w14:paraId="12B30916" w14:textId="77777777" w:rsidR="00C93BBD" w:rsidRDefault="00C93BBD" w:rsidP="00F05F79">
      <w:pPr>
        <w:rPr>
          <w:rFonts w:eastAsiaTheme="minorEastAsia"/>
        </w:rPr>
      </w:pPr>
    </w:p>
    <w:p w14:paraId="797055A0" w14:textId="77777777" w:rsidR="00C93BBD" w:rsidRDefault="00000000" w:rsidP="00F05F79">
      <w:pPr>
        <w:rPr>
          <w:rFonts w:eastAsiaTheme="minorEastAsia"/>
        </w:rPr>
      </w:pPr>
      <m:oMath>
        <m:r>
          <w:rPr>
            <w:rFonts w:ascii="Cambria Math" w:eastAsiaTheme="minorEastAsia" w:hAnsi="Cambria Math"/>
          </w:rPr>
          <m:t>V=</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(mcgvt.3)</w:t>
      </w:r>
    </w:p>
    <w:p w14:paraId="6591C3A6" w14:textId="77777777" w:rsidR="00C93BBD" w:rsidRDefault="00C93BBD" w:rsidP="00F05F79">
      <w:pPr>
        <w:rPr>
          <w:rFonts w:eastAsiaTheme="minorEastAsia"/>
        </w:rPr>
      </w:pPr>
    </w:p>
    <w:p w14:paraId="240BA022" w14:textId="77777777" w:rsidR="00C93BBD" w:rsidRDefault="00000000" w:rsidP="0097264B">
      <w:pPr>
        <w:pStyle w:val="Heading3"/>
      </w:pPr>
      <w:bookmarkStart w:id="38" w:name="_Toc239712609"/>
      <w:bookmarkStart w:id="39" w:name="_Toc240119393"/>
      <w:r>
        <w:rPr>
          <w:rFonts w:eastAsiaTheme="minorEastAsia"/>
        </w:rPr>
        <w:t xml:space="preserve">Note on structured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color w:val="auto"/>
          <w:sz w:val="19"/>
          <w:szCs w:val="24"/>
        </w:rPr>
        <w:t xml:space="preserve"> </w:t>
      </w:r>
      <w:r>
        <w:rPr>
          <w:rFonts w:eastAsiaTheme="minorEastAsia"/>
        </w:rPr>
        <w:t>: Well Banks, Well Centres, Well Precisions, Well Mixture weights and their projections</w:t>
      </w:r>
      <w:bookmarkEnd w:id="38"/>
      <w:bookmarkEnd w:id="39"/>
    </w:p>
    <w:p w14:paraId="6D0AF03F" w14:textId="77777777" w:rsidR="00C93BBD" w:rsidRDefault="00C93BBD" w:rsidP="00F05F79"/>
    <w:p w14:paraId="57AF8E0E" w14:textId="77777777" w:rsidR="00C93BBD" w:rsidRDefault="00000000" w:rsidP="00F05F79">
      <w:r w:rsidRPr="00841BB5">
        <w:rPr>
          <w:b/>
          <w:bCs/>
        </w:rPr>
        <w:t>Definition</w:t>
      </w:r>
      <w:r>
        <w:t xml:space="preserve"> </w:t>
      </w:r>
      <w:r w:rsidRPr="00841BB5">
        <w:rPr>
          <w:i/>
          <w:iCs/>
        </w:rPr>
        <w:t>Bank</w:t>
      </w:r>
    </w:p>
    <w:p w14:paraId="04E9A1F4" w14:textId="77777777" w:rsidR="00C93BBD" w:rsidRDefault="00000000" w:rsidP="00F05F79">
      <w:r w:rsidRPr="005B3D0B">
        <w:rPr>
          <w:i/>
          <w:iCs/>
        </w:rPr>
        <w:t>Bank</w:t>
      </w:r>
      <w:r>
        <w:t xml:space="preserve"> is one copy of structured well module: a mixture model (e.g. GMM) with its own projections, producing </w:t>
      </w:r>
      <w:r w:rsidRPr="005B3D0B">
        <w:rPr>
          <w:i/>
          <w:iCs/>
        </w:rPr>
        <w:t>one</w:t>
      </w:r>
      <w:r>
        <w:t xml:space="preserve"> scalar potential from </w:t>
      </w:r>
      <w:r w:rsidRPr="005B3D0B">
        <w:rPr>
          <w:i/>
          <w:iCs/>
        </w:rPr>
        <w:t>one</w:t>
      </w:r>
      <w:r>
        <w:t xml:space="preserve"> context vector </w:t>
      </w:r>
      <m:oMath>
        <m:r>
          <w:rPr>
            <w:rFonts w:ascii="Cambria Math" w:hAnsi="Cambria Math"/>
          </w:rPr>
          <m:t>ξ</m:t>
        </m:r>
      </m:oMath>
      <w:r>
        <w:t xml:space="preserve"> and hidden state </w:t>
      </w:r>
      <m:oMath>
        <m:r>
          <w:rPr>
            <w:rFonts w:ascii="Cambria Math" w:hAnsi="Cambria Math"/>
          </w:rPr>
          <m:t>h</m:t>
        </m:r>
      </m:oMath>
      <w:r>
        <w:t xml:space="preserve">. </w:t>
      </w:r>
    </w:p>
    <w:p w14:paraId="11F6D294" w14:textId="77777777" w:rsidR="00C93BBD" w:rsidRDefault="00C93BBD" w:rsidP="00F05F79"/>
    <w:p w14:paraId="44F92F70" w14:textId="77777777" w:rsidR="00C93BBD" w:rsidRDefault="00000000" w:rsidP="00F05F79">
      <w:pPr>
        <w:rPr>
          <w:rFonts w:eastAsiaTheme="minorEastAsia"/>
        </w:rPr>
      </w:pPr>
      <w:r>
        <w:t xml:space="preserve">The number of wells in the bank is denoted with </w:t>
      </w:r>
      <m:oMath>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in general. In older companion notes and in [1] in the context of using mixture models to construct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w:t>
      </w:r>
      <m:oMath>
        <m:sSub>
          <m:sSubPr>
            <m:ctrlPr>
              <w:rPr>
                <w:rFonts w:ascii="Cambria Math" w:hAnsi="Cambria Math"/>
                <w:i/>
              </w:rPr>
            </m:ctrlPr>
          </m:sSubPr>
          <m:e>
            <m:r>
              <w:rPr>
                <w:rFonts w:ascii="Cambria Math" w:hAnsi="Cambria Math"/>
              </w:rPr>
              <m:t>K</m:t>
            </m:r>
          </m:e>
          <m:sub>
            <m:r>
              <m:rPr>
                <m:sty m:val="p"/>
              </m:rPr>
              <w:rPr>
                <w:rFonts w:ascii="Cambria Math" w:hAnsi="Cambria Math"/>
              </w:rPr>
              <m:t>mix</m:t>
            </m:r>
          </m:sub>
        </m:sSub>
      </m:oMath>
      <w:r>
        <w:rPr>
          <w:rFonts w:eastAsiaTheme="minorEastAsia"/>
        </w:rPr>
        <w:t xml:space="preserve"> to denote the number of wells in the mixture model.</w:t>
      </w:r>
    </w:p>
    <w:p w14:paraId="269DB3F4" w14:textId="77777777" w:rsidR="00C93BBD" w:rsidRDefault="00000000" w:rsidP="00F05F79">
      <w:pPr>
        <w:rPr>
          <w:rFonts w:eastAsiaTheme="minorEastAsia"/>
        </w:rPr>
      </w:pPr>
      <w:r>
        <w:rPr>
          <w:rFonts w:eastAsiaTheme="minorEastAsia"/>
        </w:rPr>
        <w:t xml:space="preserve">For example, in </w:t>
      </w:r>
      <w:r w:rsidRPr="00F447E7">
        <w:rPr>
          <w:rFonts w:ascii="Consolas" w:eastAsiaTheme="minorEastAsia" w:hAnsi="Consolas" w:cs="Consolas"/>
          <w:sz w:val="17"/>
          <w:szCs w:val="17"/>
        </w:rPr>
        <w:t>MixtureQuadraticVTheta</w:t>
      </w:r>
      <w:r>
        <w:rPr>
          <w:rFonts w:eastAsiaTheme="minorEastAsia"/>
        </w:rPr>
        <w:t xml:space="preserve"> which represents the SQ3 variant of quadratic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the following component mixture representation of 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w:rPr>
            <w:rFonts w:ascii="Cambria Math" w:eastAsiaTheme="minorEastAsia" w:hAnsi="Cambria Math"/>
          </w:rPr>
          <m:t>=-τ</m:t>
        </m:r>
        <m:func>
          <m:funcPr>
            <m:ctrlPr>
              <w:rPr>
                <w:rFonts w:ascii="Cambria Math" w:eastAsiaTheme="minorEastAsia" w:hAnsi="Cambria Math"/>
                <w:i/>
              </w:rPr>
            </m:ctrlPr>
          </m:funcPr>
          <m:fName>
            <m:r>
              <m:rPr>
                <m:sty m:val="p"/>
              </m:rPr>
              <w:rPr>
                <w:rFonts w:ascii="Cambria Math" w:eastAsiaTheme="minorEastAsia" w:hAnsi="Cambria Math"/>
              </w:rPr>
              <m:t>log</m:t>
            </m:r>
          </m:fName>
          <m:e>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sup>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/τ</m:t>
                    </m:r>
                  </m:sup>
                </m:sSup>
              </m:e>
            </m:nary>
          </m:e>
        </m:func>
      </m:oMath>
      <w:r>
        <w:rPr>
          <w:rFonts w:eastAsiaTheme="minorEastAsia"/>
        </w:rPr>
        <w:t xml:space="preserve">. In this formula we have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Pr>
          <w:rFonts w:eastAsiaTheme="minorEastAsia"/>
        </w:rPr>
        <w:t xml:space="preserve"> components with weights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oMath>
      <w:r>
        <w:rPr>
          <w:rFonts w:eastAsiaTheme="minorEastAsia"/>
        </w:rPr>
        <w:t xml:space="preserve"> with energies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oMath>
      <w:r>
        <w:rPr>
          <w:rFonts w:eastAsiaTheme="minorEastAsia"/>
        </w:rPr>
        <w:t xml:space="preserve"> , combined by log-sum-exp.</w:t>
      </w:r>
    </w:p>
    <w:p w14:paraId="0B0D706F" w14:textId="77777777" w:rsidR="00C93BBD" w:rsidRDefault="00C93BBD" w:rsidP="0019323A">
      <w:pPr>
        <w:rPr>
          <w:rFonts w:eastAsiaTheme="minorEastAsia"/>
        </w:rPr>
      </w:pPr>
    </w:p>
    <w:p w14:paraId="1D9F0F2B" w14:textId="77777777" w:rsidR="00C93BBD" w:rsidRPr="0007364C" w:rsidRDefault="00000000" w:rsidP="0019323A">
      <w:pPr>
        <w:rPr>
          <w:rFonts w:eastAsiaTheme="minorEastAsia"/>
          <w:u w:val="single"/>
        </w:rPr>
      </w:pPr>
      <w:r w:rsidRPr="0007364C">
        <w:rPr>
          <w:rFonts w:eastAsiaTheme="minorEastAsia"/>
          <w:u w:val="single"/>
        </w:rPr>
        <w:t>How are banks assembled?</w:t>
      </w:r>
    </w:p>
    <w:p w14:paraId="7A15AAFA" w14:textId="77777777" w:rsidR="00C93BBD" w:rsidRDefault="00C93BBD" w:rsidP="0019323A">
      <w:pPr>
        <w:rPr>
          <w:rFonts w:eastAsiaTheme="minorEastAsia"/>
        </w:rPr>
      </w:pPr>
    </w:p>
    <w:p w14:paraId="2C4D282A" w14:textId="45D24BDC" w:rsidR="00C93BBD" w:rsidRDefault="00000000" w:rsidP="0007364C">
      <w:pPr>
        <w:pStyle w:val="ListParagraph"/>
        <w:rPr>
          <w:rFonts w:eastAsiaTheme="minorEastAsia"/>
        </w:rPr>
      </w:pPr>
      <w:r>
        <w:t xml:space="preserve">• </w:t>
      </w:r>
      <w:r w:rsidRPr="00EF35D5">
        <w:rPr>
          <w:rFonts w:eastAsiaTheme="minorEastAsia"/>
          <w:b/>
          <w:bCs/>
        </w:rPr>
        <w:t>one bank (concat / joint)</w:t>
      </w:r>
      <w:r>
        <w:rPr>
          <w:rFonts w:eastAsiaTheme="minorEastAsia"/>
        </w:rPr>
        <w:t xml:space="preserve">: </w:t>
      </w:r>
      <w:r w:rsidRPr="00EF35D5">
        <w:rPr>
          <w:rFonts w:ascii="Consolas" w:eastAsiaTheme="minorEastAsia" w:hAnsi="Consolas" w:cs="Consolas"/>
          <w:sz w:val="17"/>
          <w:szCs w:val="17"/>
        </w:rPr>
        <w:t>V_theta.banks</w:t>
      </w:r>
      <w:r>
        <w:rPr>
          <w:rFonts w:eastAsiaTheme="minorEastAsia"/>
        </w:rPr>
        <w:t xml:space="preserve"> has length 1. That bank’s </w:t>
      </w:r>
      <m:oMath>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oMath>
      <w:r>
        <w:rPr>
          <w:rFonts w:eastAsiaTheme="minorEastAsia"/>
        </w:rPr>
        <w:t xml:space="preserve"> is </w:t>
      </w:r>
      <m:oMath>
        <m:r>
          <w:rPr>
            <w:rFonts w:ascii="Cambria Math" w:eastAsiaTheme="minorEastAsia" w:hAnsi="Cambria Math"/>
          </w:rPr>
          <m:t>d</m:t>
        </m:r>
      </m:oMath>
      <w:r>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Pr>
          <w:rFonts w:eastAsiaTheme="minorEastAsia"/>
        </w:rPr>
        <w:t xml:space="preserve">. The context channels are no longer per </w:t>
      </w:r>
      <w:r w:rsidR="00D20131">
        <w:rPr>
          <w:rFonts w:eastAsiaTheme="minorEastAsia"/>
        </w:rPr>
        <w:t>bank;</w:t>
      </w:r>
      <w:r>
        <w:rPr>
          <w:rFonts w:eastAsiaTheme="minorEastAsia"/>
        </w:rPr>
        <w:t xml:space="preserve"> all channels feed this one mixture.</w:t>
      </w:r>
    </w:p>
    <w:p w14:paraId="270AAA1A" w14:textId="77777777" w:rsidR="00C93BBD" w:rsidRPr="0007364C" w:rsidRDefault="00000000" w:rsidP="0007364C">
      <w:pPr>
        <w:pStyle w:val="ListParagraph"/>
        <w:rPr>
          <w:rFonts w:eastAsiaTheme="minorEastAsia"/>
        </w:rPr>
      </w:pPr>
      <w:r>
        <w:t xml:space="preserve">• </w:t>
      </w:r>
      <w:r>
        <w:rPr>
          <w:rFonts w:eastAsiaTheme="minorEastAsia"/>
          <w:b/>
          <w:bCs/>
        </w:rPr>
        <w:t>additive multi-context:</w:t>
      </w:r>
      <w:r>
        <w:rPr>
          <w:rFonts w:eastAsiaTheme="minorEastAsia"/>
        </w:rPr>
        <w:t xml:space="preserve"> </w:t>
      </w:r>
      <w:r w:rsidRPr="000147E9">
        <w:rPr>
          <w:rFonts w:ascii="Consolas" w:eastAsiaTheme="minorEastAsia" w:hAnsi="Consolas" w:cs="Consolas"/>
          <w:sz w:val="17"/>
          <w:szCs w:val="17"/>
        </w:rPr>
        <w:t>n_ctx</w:t>
      </w:r>
      <w:r>
        <w:rPr>
          <w:rFonts w:eastAsiaTheme="minorEastAsia"/>
        </w:rPr>
        <w:t xml:space="preserve"> banks, </w:t>
      </w:r>
      <w:r w:rsidRPr="000147E9">
        <w:rPr>
          <w:rFonts w:ascii="Consolas" w:eastAsiaTheme="minorEastAsia" w:hAnsi="Consolas" w:cs="Consolas"/>
          <w:sz w:val="17"/>
          <w:szCs w:val="17"/>
        </w:rPr>
        <w:t>banks[m]</w:t>
      </w:r>
      <w:r>
        <w:rPr>
          <w:rFonts w:eastAsiaTheme="minorEastAsia"/>
        </w:rPr>
        <w:t xml:space="preserve"> reads only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m</m:t>
                </m:r>
              </m:e>
            </m:d>
          </m:sup>
        </m:sSup>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m:t>
            </m:r>
          </m:sub>
        </m:sSub>
        <m:r>
          <w:rPr>
            <w:rFonts w:ascii="Cambria Math" w:eastAsiaTheme="minorEastAsia" w:hAnsi="Cambria Math"/>
          </w:rPr>
          <m:t>=d</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m</m:t>
            </m:r>
          </m:sub>
          <m:sup/>
          <m:e>
            <m:sSubSup>
              <m:sSubSupPr>
                <m:ctrlPr>
                  <w:rPr>
                    <w:rFonts w:ascii="Cambria Math" w:eastAsiaTheme="minorEastAsia" w:hAnsi="Cambria Math"/>
                    <w:i/>
                  </w:rPr>
                </m:ctrlPr>
              </m:sSubSupPr>
              <m:e>
                <m:r>
                  <w:rPr>
                    <w:rFonts w:ascii="Cambria Math" w:eastAsiaTheme="minorEastAsia" w:hAnsi="Cambria Math"/>
                  </w:rPr>
                  <m:t>V</m:t>
                </m:r>
              </m:e>
              <m:sub>
                <m:r>
                  <m:rPr>
                    <m:sty m:val="p"/>
                  </m:rPr>
                  <w:rPr>
                    <w:rFonts w:ascii="Cambria Math" w:eastAsiaTheme="minorEastAsia" w:hAnsi="Cambria Math"/>
                  </w:rPr>
                  <m:t>bank</m:t>
                </m:r>
              </m:sub>
              <m:sup>
                <m:d>
                  <m:dPr>
                    <m:ctrlPr>
                      <w:rPr>
                        <w:rFonts w:ascii="Cambria Math" w:eastAsiaTheme="minorEastAsia" w:hAnsi="Cambria Math"/>
                        <w:i/>
                      </w:rPr>
                    </m:ctrlPr>
                  </m:dPr>
                  <m:e>
                    <m:r>
                      <w:rPr>
                        <w:rFonts w:ascii="Cambria Math" w:eastAsiaTheme="minorEastAsia" w:hAnsi="Cambria Math"/>
                      </w:rPr>
                      <m:t>m</m:t>
                    </m:r>
                  </m:e>
                </m:d>
              </m:sup>
            </m:sSubSup>
          </m:e>
        </m:nary>
      </m:oMath>
      <w:r>
        <w:rPr>
          <w:rFonts w:eastAsiaTheme="minorEastAsia"/>
        </w:rPr>
        <w:t xml:space="preserve">. For example, in many of our recent models we use 5 banks with 8 wells each abbrev. 5 heads </w:t>
      </w:r>
      <m:oMath>
        <m:r>
          <w:rPr>
            <w:rFonts w:ascii="Cambria Math" w:eastAsiaTheme="minorEastAsia" w:hAnsi="Cambria Math"/>
          </w:rPr>
          <m:t>×</m:t>
        </m:r>
      </m:oMath>
      <w:r>
        <w:rPr>
          <w:rFonts w:eastAsiaTheme="minorEastAsia"/>
        </w:rPr>
        <w:t xml:space="preserve"> 8 wells.</w:t>
      </w:r>
    </w:p>
    <w:p w14:paraId="5F2C6EED" w14:textId="77777777" w:rsidR="00C93BBD" w:rsidRPr="0019323A" w:rsidRDefault="00C93BBD" w:rsidP="0019323A">
      <w:pPr>
        <w:rPr>
          <w:rFonts w:eastAsiaTheme="minorEastAsia"/>
        </w:rPr>
      </w:pPr>
    </w:p>
    <w:p w14:paraId="46A85EE0" w14:textId="77777777" w:rsidR="00C93BBD" w:rsidRPr="00737C59" w:rsidRDefault="00000000" w:rsidP="00F05F79">
      <w:pPr>
        <w:rPr>
          <w:rFonts w:eastAsiaTheme="minorEastAsia"/>
          <w:u w:val="single"/>
        </w:rPr>
      </w:pPr>
      <w:r w:rsidRPr="00737C59">
        <w:rPr>
          <w:rFonts w:eastAsiaTheme="minorEastAsia"/>
          <w:u w:val="single"/>
        </w:rPr>
        <w:t xml:space="preserve">One Bank (Concat / Joint) </w:t>
      </w:r>
    </w:p>
    <w:p w14:paraId="444C9CFA" w14:textId="77777777" w:rsidR="00C93BBD" w:rsidRDefault="00000000" w:rsidP="00F05F79">
      <w:pPr>
        <w:rPr>
          <w:rFonts w:eastAsiaTheme="minorEastAsia"/>
        </w:rPr>
      </w:pPr>
      <w:r>
        <w:rPr>
          <w:rFonts w:eastAsiaTheme="minorEastAsia"/>
        </w:rPr>
        <w:t xml:space="preserve">Implemented via </w:t>
      </w:r>
      <w:r w:rsidRPr="00774682">
        <w:rPr>
          <w:rFonts w:eastAsiaTheme="minorEastAsia"/>
          <w:i/>
          <w:iCs/>
        </w:rPr>
        <w:t>Concat Adapters</w:t>
      </w:r>
      <w:r>
        <w:rPr>
          <w:rFonts w:eastAsiaTheme="minorEastAsia"/>
        </w:rPr>
        <w:t xml:space="preserve"> in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(SQ3) and early Gaussian implementations.</w:t>
      </w:r>
    </w:p>
    <w:p w14:paraId="4A2F0859" w14:textId="77777777" w:rsidR="00C93BBD" w:rsidRDefault="00000000" w:rsidP="00F05F79">
      <w:pPr>
        <w:rPr>
          <w:rFonts w:eastAsiaTheme="minorEastAsia"/>
        </w:rPr>
      </w:pPr>
      <w:r>
        <w:rPr>
          <w:rFonts w:eastAsiaTheme="minorEastAsia"/>
        </w:rPr>
        <w:t xml:space="preserve">Flatten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Pr>
          <w:rFonts w:eastAsiaTheme="minorEastAsia"/>
        </w:rPr>
        <w:t xml:space="preserve">, one mixture, </w:t>
      </w:r>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Pr>
          <w:rFonts w:eastAsiaTheme="minorEastAsia"/>
        </w:rPr>
        <w:t xml:space="preserve">. No </w:t>
      </w:r>
      <w:r w:rsidRPr="00880C8D">
        <w:rPr>
          <w:rFonts w:ascii="Consolas" w:eastAsiaTheme="minorEastAsia" w:hAnsi="Consolas" w:cs="Consolas"/>
          <w:sz w:val="17"/>
          <w:szCs w:val="17"/>
        </w:rPr>
        <w:t>V_theta.banks</w:t>
      </w:r>
      <w:r>
        <w:rPr>
          <w:rFonts w:eastAsiaTheme="minorEastAsia"/>
        </w:rPr>
        <w:t xml:space="preserve"> or not used in the usual way. </w:t>
      </w:r>
    </w:p>
    <w:p w14:paraId="09601CE5" w14:textId="77777777" w:rsidR="00C93BBD" w:rsidRDefault="00000000" w:rsidP="00F05F79">
      <w:pPr>
        <w:rPr>
          <w:rFonts w:eastAsiaTheme="minorEastAsia"/>
        </w:rPr>
      </w:pPr>
      <w:r>
        <w:rPr>
          <w:rFonts w:eastAsiaTheme="minorEastAsia"/>
        </w:rPr>
        <w:t>Concat adapters are :</w:t>
      </w:r>
    </w:p>
    <w:p w14:paraId="47413982" w14:textId="77777777" w:rsidR="00C93BBD" w:rsidRDefault="00000000" w:rsidP="0079124C">
      <w:pPr>
        <w:rPr>
          <w:rFonts w:eastAsiaTheme="minorEastAsia"/>
        </w:rPr>
      </w:pPr>
      <w:r>
        <w:rPr>
          <w:rFonts w:eastAsiaTheme="minorEastAsia"/>
        </w:rPr>
        <w:lastRenderedPageBreak/>
        <w:t xml:space="preserve">  - </w:t>
      </w:r>
      <w:r w:rsidRPr="0079124C">
        <w:rPr>
          <w:rFonts w:ascii="Consolas" w:eastAsiaTheme="minorEastAsia" w:hAnsi="Consolas" w:cs="Consolas"/>
          <w:sz w:val="17"/>
          <w:szCs w:val="17"/>
        </w:rPr>
        <w:t>StructuredVThetaMultiXiAdapter</w:t>
      </w:r>
      <w:r w:rsidRPr="0079124C">
        <w:rPr>
          <w:rFonts w:eastAsiaTheme="minorEastAsia"/>
        </w:rPr>
        <w:t xml:space="preserve"> – used </w:t>
      </w:r>
      <w:r>
        <w:rPr>
          <w:rFonts w:eastAsiaTheme="minorEastAsia"/>
        </w:rPr>
        <w:t xml:space="preserve">in the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implementation SQ3 </w:t>
      </w:r>
      <w:r w:rsidRPr="00744274">
        <w:rPr>
          <w:rFonts w:ascii="Consolas" w:eastAsiaTheme="minorEastAsia" w:hAnsi="Consolas" w:cs="Consolas"/>
          <w:sz w:val="17"/>
          <w:szCs w:val="17"/>
        </w:rPr>
        <w:t>MixtureQuadraticVTheta</w:t>
      </w:r>
      <w:r>
        <w:rPr>
          <w:rFonts w:eastAsiaTheme="minorEastAsia"/>
        </w:rPr>
        <w:t xml:space="preserve">. Used on </w:t>
      </w:r>
      <w:r w:rsidRPr="00744274">
        <w:rPr>
          <w:rFonts w:eastAsiaTheme="minorEastAsia"/>
        </w:rPr>
        <w:t>Multi-</w:t>
      </w:r>
      <w:r w:rsidRPr="00744274">
        <w:rPr>
          <w:rFonts w:ascii="Cambria Math" w:eastAsiaTheme="minorEastAsia" w:hAnsi="Cambria Math"/>
          <w:i/>
        </w:rPr>
        <w:t xml:space="preserve"> </w:t>
      </w:r>
      <m:oMath>
        <m:r>
          <w:rPr>
            <w:rFonts w:ascii="Cambria Math" w:eastAsiaTheme="minorEastAsia" w:hAnsi="Cambria Math"/>
          </w:rPr>
          <m:t>ξ</m:t>
        </m:r>
      </m:oMath>
      <w:r w:rsidRPr="00744274">
        <w:rPr>
          <w:rFonts w:eastAsiaTheme="minorEastAsia"/>
        </w:rPr>
        <w:t xml:space="preserve"> SPLM / PARFLM / Fock-PARFLM v2.1 (A1–A5, Phase 4 OWT SQ3)</w:t>
      </w:r>
    </w:p>
    <w:p w14:paraId="2C481289" w14:textId="77777777" w:rsidR="00C93BBD" w:rsidRDefault="00000000" w:rsidP="00F05F79">
      <w:pPr>
        <w:rPr>
          <w:rFonts w:eastAsiaTheme="minorEastAsia"/>
        </w:rPr>
      </w:pPr>
      <w:r>
        <w:rPr>
          <w:rFonts w:eastAsiaTheme="minorEastAsia"/>
        </w:rPr>
        <w:t xml:space="preserve">  - </w:t>
      </w:r>
      <w:r w:rsidRPr="00744274">
        <w:rPr>
          <w:rFonts w:ascii="Consolas" w:eastAsiaTheme="minorEastAsia" w:hAnsi="Consolas" w:cs="Consolas"/>
          <w:sz w:val="17"/>
          <w:szCs w:val="17"/>
        </w:rPr>
        <w:t>GaussianVThetaMultiXiAdapter</w:t>
      </w:r>
      <w:r>
        <w:rPr>
          <w:rFonts w:eastAsiaTheme="minorEastAsia"/>
        </w:rPr>
        <w:t xml:space="preserve"> - used in isotropic </w:t>
      </w:r>
      <w:r w:rsidRPr="00744274">
        <w:rPr>
          <w:rFonts w:ascii="Consolas" w:eastAsiaTheme="minorEastAsia" w:hAnsi="Consolas" w:cs="Consolas"/>
          <w:sz w:val="17"/>
          <w:szCs w:val="17"/>
        </w:rPr>
        <w:t>MixtureGaussianVTheta</w:t>
      </w:r>
      <w:r w:rsidRPr="00744274">
        <w:rPr>
          <w:rFonts w:eastAsiaTheme="minorEastAsia" w:cs="Consolas"/>
          <w:szCs w:val="19"/>
        </w:rPr>
        <w:t xml:space="preserve"> and in </w:t>
      </w:r>
      <w:r>
        <w:rPr>
          <w:rFonts w:ascii="Consolas" w:eastAsiaTheme="minorEastAsia" w:hAnsi="Consolas" w:cs="Consolas"/>
          <w:sz w:val="17"/>
          <w:szCs w:val="17"/>
        </w:rPr>
        <w:t>SARFGaussianVTheta</w:t>
      </w:r>
      <w:r w:rsidRPr="00744274">
        <w:rPr>
          <w:rFonts w:eastAsiaTheme="minorEastAsia" w:cs="Consolas"/>
          <w:szCs w:val="19"/>
        </w:rPr>
        <w:t>.</w:t>
      </w:r>
      <w:r>
        <w:rPr>
          <w:rFonts w:eastAsiaTheme="minorEastAsia"/>
        </w:rPr>
        <w:t xml:space="preserve">  Used on </w:t>
      </w:r>
      <w:r w:rsidRPr="00744274">
        <w:rPr>
          <w:rFonts w:eastAsiaTheme="minorEastAsia"/>
        </w:rPr>
        <w:t>hybrid Gaussian–quad</w:t>
      </w:r>
      <w:r>
        <w:rPr>
          <w:rFonts w:eastAsiaTheme="minorEastAsia"/>
        </w:rPr>
        <w:t>ratic</w:t>
      </w:r>
      <w:r w:rsidRPr="00744274">
        <w:rPr>
          <w:rFonts w:eastAsiaTheme="minorEastAsia"/>
        </w:rPr>
        <w:t xml:space="preserve"> notebook</w:t>
      </w:r>
      <w:r>
        <w:rPr>
          <w:rFonts w:eastAsiaTheme="minorEastAsia"/>
        </w:rPr>
        <w:t xml:space="preserve"> and in</w:t>
      </w:r>
      <w:r w:rsidRPr="00744274">
        <w:rPr>
          <w:rFonts w:eastAsiaTheme="minorEastAsia"/>
        </w:rPr>
        <w:t xml:space="preserve"> Phase 5 SARF/Gaussian concat arms</w:t>
      </w:r>
      <w:r>
        <w:rPr>
          <w:rFonts w:eastAsiaTheme="minorEastAsia"/>
        </w:rPr>
        <w:t xml:space="preserve">. </w:t>
      </w:r>
    </w:p>
    <w:p w14:paraId="63FBD13B" w14:textId="77777777" w:rsidR="00C93BBD" w:rsidRDefault="00000000" w:rsidP="00F05F79">
      <w:pPr>
        <w:rPr>
          <w:rFonts w:eastAsiaTheme="minorEastAsia"/>
        </w:rPr>
      </w:pPr>
      <w:r>
        <w:rPr>
          <w:rFonts w:eastAsiaTheme="minorEastAsia"/>
        </w:rPr>
        <w:t xml:space="preserve">There is also a newer implementation which uses one </w:t>
      </w:r>
      <w:r w:rsidRPr="00774682">
        <w:rPr>
          <w:rFonts w:eastAsiaTheme="minorEastAsia"/>
          <w:i/>
          <w:iCs/>
        </w:rPr>
        <w:t>Joint Bank</w:t>
      </w:r>
      <w:r>
        <w:rPr>
          <w:rFonts w:eastAsiaTheme="minorEastAsia"/>
        </w:rPr>
        <w:t xml:space="preserve">  (see [9])</w:t>
      </w:r>
    </w:p>
    <w:p w14:paraId="4E96BEDE" w14:textId="77777777" w:rsidR="00C93BBD" w:rsidRPr="00B610FF" w:rsidRDefault="00000000" w:rsidP="00B610FF">
      <w:pPr>
        <w:rPr>
          <w:rFonts w:eastAsiaTheme="minorEastAsia"/>
        </w:rPr>
      </w:pPr>
      <w:r>
        <w:rPr>
          <w:rFonts w:eastAsiaTheme="minorEastAsia"/>
        </w:rPr>
        <w:t xml:space="preserve">  - </w:t>
      </w:r>
      <w:r w:rsidRPr="00B610FF">
        <w:rPr>
          <w:rFonts w:ascii="Consolas" w:eastAsiaTheme="minorEastAsia" w:hAnsi="Consolas" w:cs="Consolas"/>
          <w:sz w:val="17"/>
          <w:szCs w:val="17"/>
        </w:rPr>
        <w:t>JointContextAnisotropicGaussianVTheta</w:t>
      </w:r>
      <w:r w:rsidRPr="00B610FF">
        <w:rPr>
          <w:rFonts w:eastAsiaTheme="minorEastAsia"/>
        </w:rPr>
        <w:t xml:space="preserve"> – used in </w:t>
      </w:r>
      <w:r w:rsidRPr="00073350">
        <w:rPr>
          <w:rFonts w:ascii="Consolas" w:eastAsiaTheme="minorEastAsia" w:hAnsi="Consolas" w:cs="Consolas"/>
          <w:sz w:val="17"/>
          <w:szCs w:val="17"/>
        </w:rPr>
        <w:t>AnisotropicDepthConditionedGaussianVTheta</w:t>
      </w:r>
      <w:r>
        <w:rPr>
          <w:rFonts w:eastAsiaTheme="minorEastAsia"/>
        </w:rPr>
        <w:t xml:space="preserve"> , code : </w:t>
      </w:r>
      <w:hyperlink r:id="rId10" w:anchor="L492-L602" w:history="1">
        <w:r w:rsidRPr="00073350">
          <w:rPr>
            <w:rStyle w:val="Hyperlink"/>
            <w:rFonts w:eastAsiaTheme="minorEastAsia"/>
          </w:rPr>
          <w:t>model_aniso_gaussian_vtheta.py</w:t>
        </w:r>
      </w:hyperlink>
      <w:r>
        <w:rPr>
          <w:rFonts w:eastAsiaTheme="minorEastAsia"/>
        </w:rPr>
        <w:t xml:space="preserve">. </w:t>
      </w:r>
    </w:p>
    <w:p w14:paraId="08251CD9" w14:textId="77777777" w:rsidR="00C93BBD" w:rsidRDefault="00C93BBD" w:rsidP="00F05F79">
      <w:pPr>
        <w:rPr>
          <w:rFonts w:eastAsiaTheme="minorEastAsia"/>
        </w:rPr>
      </w:pPr>
    </w:p>
    <w:p w14:paraId="12D06E47" w14:textId="77777777" w:rsidR="00C93BBD" w:rsidRDefault="00000000" w:rsidP="00F05F79">
      <w:r>
        <w:rPr>
          <w:rFonts w:eastAsiaTheme="minorEastAsia"/>
        </w:rPr>
        <w:t xml:space="preserve"> </w:t>
      </w:r>
      <w:r>
        <w:t xml:space="preserve">The well centres are denoted with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The diagonal precisions are denoted with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m:rPr>
                <m:scr m:val="double-struck"/>
              </m:rPr>
              <w:rPr>
                <w:rFonts w:ascii="Cambria Math" w:eastAsiaTheme="minorEastAsia" w:hAnsi="Cambria Math"/>
              </w:rPr>
              <m:t>R</m:t>
            </m:r>
          </m:e>
          <m:sub>
            <m:r>
              <w:rPr>
                <w:rFonts w:ascii="Cambria Math" w:eastAsiaTheme="minorEastAsia" w:hAnsi="Cambria Math"/>
              </w:rPr>
              <m:t>&gt;0</m:t>
            </m:r>
          </m:sub>
          <m:sup>
            <m:r>
              <w:rPr>
                <w:rFonts w:ascii="Cambria Math" w:eastAsiaTheme="minorEastAsia" w:hAnsi="Cambria Math"/>
              </w:rPr>
              <m:t>d</m:t>
            </m:r>
          </m:sup>
        </m:sSubSup>
      </m:oMath>
      <w:r>
        <w:rPr>
          <w:rFonts w:eastAsiaTheme="minorEastAsia"/>
        </w:rPr>
        <w:t xml:space="preserve"> and represent the inverse variances per coordinate. The mixture weights are denoted with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r>
          <m:rPr>
            <m:scr m:val="double-struck"/>
          </m:rPr>
          <w:rPr>
            <w:rFonts w:ascii="Cambria Math" w:eastAsiaTheme="minorEastAsia" w:hAnsi="Cambria Math"/>
          </w:rPr>
          <m:t>∈R</m:t>
        </m:r>
      </m:oMath>
      <w:r>
        <w:rPr>
          <w:rFonts w:eastAsiaTheme="minorEastAsia"/>
        </w:rPr>
        <w:t xml:space="preserve">. </w:t>
      </w:r>
    </w:p>
    <w:p w14:paraId="61234B2B" w14:textId="77777777" w:rsidR="00C93BBD" w:rsidRDefault="00C93BBD" w:rsidP="00F05F79"/>
    <w:p w14:paraId="2207A55D" w14:textId="77777777" w:rsidR="00C93BBD" w:rsidRDefault="00000000" w:rsidP="008458D4">
      <w:pPr>
        <w:rPr>
          <w:rFonts w:eastAsiaTheme="minorEastAsia"/>
        </w:rPr>
      </w:pPr>
      <w:r>
        <w:rPr>
          <w:rFonts w:eastAsiaTheme="minorEastAsia"/>
        </w:rPr>
        <w:t xml:space="preserve">More recently we have studied GMMs such as </w:t>
      </w:r>
      <w:r w:rsidRPr="00F823CE">
        <w:rPr>
          <w:rFonts w:ascii="Consolas" w:eastAsiaTheme="minorEastAsia" w:hAnsi="Consolas" w:cs="Consolas"/>
          <w:sz w:val="17"/>
          <w:szCs w:val="17"/>
        </w:rPr>
        <w:t>MixtureGaussianVTheta</w:t>
      </w:r>
      <w:r>
        <w:rPr>
          <w:rFonts w:eastAsiaTheme="minorEastAsia"/>
        </w:rPr>
        <w:t xml:space="preserve"> and </w:t>
      </w:r>
      <w:r w:rsidRPr="00F823CE">
        <w:rPr>
          <w:rFonts w:ascii="Consolas" w:eastAsiaTheme="minorEastAsia" w:hAnsi="Consolas" w:cs="Consolas"/>
          <w:sz w:val="17"/>
          <w:szCs w:val="17"/>
        </w:rPr>
        <w:t>AnisotropicMixtureGaussianVTheta</w:t>
      </w:r>
      <w:r>
        <w:rPr>
          <w:rFonts w:eastAsiaTheme="minorEastAsia"/>
        </w:rPr>
        <w:t>.</w:t>
      </w:r>
    </w:p>
    <w:p w14:paraId="1A5F941D" w14:textId="77777777" w:rsidR="00C93BBD" w:rsidRDefault="00000000" w:rsidP="008458D4">
      <w:pPr>
        <w:rPr>
          <w:rFonts w:eastAsiaTheme="minorEastAsia"/>
        </w:rPr>
      </w:pPr>
      <w:r>
        <w:rPr>
          <w:rFonts w:eastAsiaTheme="minorEastAsia"/>
        </w:rPr>
        <w:t>So, the inputs, parameters and outputs of those mixture models are:</w:t>
      </w:r>
    </w:p>
    <w:p w14:paraId="5FC1E045" w14:textId="77777777" w:rsidR="00C93BBD" w:rsidRDefault="00C93BBD" w:rsidP="008458D4">
      <w:pPr>
        <w:rPr>
          <w:rFonts w:eastAsiaTheme="minorEastAsia"/>
        </w:rPr>
      </w:pPr>
    </w:p>
    <w:p w14:paraId="2BC598B3" w14:textId="77777777" w:rsidR="00C93BBD" w:rsidRPr="00D80E5E" w:rsidRDefault="00000000" w:rsidP="008458D4">
      <w:pPr>
        <w:pStyle w:val="ListParagraph"/>
        <w:rPr>
          <w:rFonts w:eastAsiaTheme="minorEastAsia"/>
        </w:rPr>
      </w:pPr>
      <w:r>
        <w:t xml:space="preserve">• </w:t>
      </w:r>
      <w:r w:rsidRPr="00D80E5E">
        <w:rPr>
          <w:rFonts w:eastAsiaTheme="minorEastAsia"/>
        </w:rPr>
        <w:t xml:space="preserve">inputs :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sup>
        </m:sSup>
      </m:oMath>
      <w:r w:rsidRPr="00D80E5E">
        <w:rPr>
          <w:rFonts w:eastAsiaTheme="minorEastAsia"/>
        </w:rPr>
        <w:t xml:space="preserve"> , </w:t>
      </w:r>
      <m:oMath>
        <m:r>
          <w:rPr>
            <w:rFonts w:ascii="Cambria Math" w:eastAsiaTheme="minorEastAsia" w:hAnsi="Cambria Math"/>
          </w:rPr>
          <m:t>h∈</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p w14:paraId="567FD881" w14:textId="77777777" w:rsidR="00C93BBD" w:rsidRDefault="00000000" w:rsidP="008458D4">
      <w:pPr>
        <w:pStyle w:val="ListParagraph"/>
        <w:rPr>
          <w:rFonts w:eastAsiaTheme="minorEastAsia"/>
        </w:rPr>
      </w:pPr>
      <w:r>
        <w:t xml:space="preserve">• </w:t>
      </w:r>
      <w:r>
        <w:rPr>
          <w:rFonts w:eastAsiaTheme="minorEastAsia"/>
        </w:rPr>
        <w:t xml:space="preserve">parameters : the bank’s </w:t>
      </w:r>
      <w:r w:rsidRPr="00913EA9">
        <w:rPr>
          <w:rFonts w:ascii="Consolas" w:eastAsiaTheme="minorEastAsia" w:hAnsi="Consolas" w:cs="Consolas"/>
          <w:sz w:val="17"/>
          <w:szCs w:val="17"/>
        </w:rPr>
        <w:t>mu_proj</w:t>
      </w:r>
      <w:r>
        <w:rPr>
          <w:rFonts w:eastAsiaTheme="minorEastAsia"/>
        </w:rPr>
        <w:t xml:space="preserve">, </w:t>
      </w:r>
      <w:r w:rsidRPr="00913EA9">
        <w:rPr>
          <w:rFonts w:ascii="Consolas" w:eastAsiaTheme="minorEastAsia" w:hAnsi="Consolas" w:cs="Consolas"/>
          <w:sz w:val="17"/>
          <w:szCs w:val="17"/>
        </w:rPr>
        <w:t>a_proj</w:t>
      </w:r>
      <w:r>
        <w:rPr>
          <w:rFonts w:eastAsiaTheme="minorEastAsia"/>
        </w:rPr>
        <w:t xml:space="preserve">, </w:t>
      </w:r>
      <w:r w:rsidRPr="00913EA9">
        <w:rPr>
          <w:rFonts w:ascii="Consolas" w:eastAsiaTheme="minorEastAsia" w:hAnsi="Consolas" w:cs="Consolas"/>
          <w:sz w:val="17"/>
          <w:szCs w:val="17"/>
        </w:rPr>
        <w:t>w_proj</w:t>
      </w:r>
      <w:r>
        <w:rPr>
          <w:rFonts w:eastAsiaTheme="minorEastAsia"/>
        </w:rPr>
        <w:t xml:space="preserve">, (and </w:t>
      </w:r>
      <w:r w:rsidRPr="00913EA9">
        <w:rPr>
          <w:rFonts w:ascii="Consolas" w:eastAsiaTheme="minorEastAsia" w:hAnsi="Consolas" w:cs="Consolas"/>
          <w:sz w:val="17"/>
          <w:szCs w:val="17"/>
        </w:rPr>
        <w:t>B_proj</w:t>
      </w:r>
      <w:r>
        <w:rPr>
          <w:rFonts w:eastAsiaTheme="minorEastAsia"/>
        </w:rPr>
        <w:t xml:space="preserve"> if anisotropic)</w:t>
      </w:r>
    </w:p>
    <w:p w14:paraId="01A19FAA" w14:textId="77777777" w:rsidR="00C93BBD" w:rsidRDefault="00000000" w:rsidP="008458D4">
      <w:pPr>
        <w:pStyle w:val="ListParagraph"/>
        <w:rPr>
          <w:rFonts w:eastAsiaTheme="minorEastAsia"/>
        </w:rPr>
      </w:pPr>
      <w:r>
        <w:t xml:space="preserve">• </w:t>
      </w:r>
      <w:r>
        <w:rPr>
          <w:rFonts w:eastAsiaTheme="minorEastAsia"/>
        </w:rPr>
        <w:t xml:space="preserve">output: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oMath>
      <w:r>
        <w:rPr>
          <w:rFonts w:eastAsiaTheme="minorEastAsia"/>
        </w:rPr>
        <w:t xml:space="preserve"> wells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e>
                </m:d>
              </m:e>
            </m:d>
          </m:e>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sSubSup>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bank</m:t>
            </m:r>
          </m:sub>
        </m:sSub>
        <m:d>
          <m:dPr>
            <m:ctrlPr>
              <w:rPr>
                <w:rFonts w:ascii="Cambria Math" w:eastAsiaTheme="minorEastAsia" w:hAnsi="Cambria Math"/>
                <w:i/>
              </w:rPr>
            </m:ctrlPr>
          </m:dPr>
          <m:e>
            <m:r>
              <w:rPr>
                <w:rFonts w:ascii="Cambria Math" w:eastAsiaTheme="minorEastAsia" w:hAnsi="Cambria Math"/>
              </w:rPr>
              <m:t>ξ,h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d>
              </m:e>
            </m:func>
          </m:e>
        </m:nary>
      </m:oMath>
    </w:p>
    <w:p w14:paraId="3076E538" w14:textId="77777777" w:rsidR="00C93BBD" w:rsidRDefault="00C93BBD" w:rsidP="00F05F79"/>
    <w:p w14:paraId="5C44727B" w14:textId="77777777" w:rsidR="00C93BBD" w:rsidRDefault="00000000" w:rsidP="00F05F79">
      <w:r>
        <w:t xml:space="preserve">There are three maps, also denoted as </w:t>
      </w:r>
      <w:r w:rsidRPr="00567225">
        <w:rPr>
          <w:i/>
          <w:iCs/>
        </w:rPr>
        <w:t>projections</w:t>
      </w:r>
      <w:r>
        <w:t xml:space="preserve">, which are ordinary </w:t>
      </w:r>
      <w:r w:rsidRPr="00953E1A">
        <w:rPr>
          <w:rFonts w:ascii="Consolas" w:hAnsi="Consolas" w:cs="Consolas"/>
          <w:sz w:val="17"/>
          <w:szCs w:val="17"/>
        </w:rPr>
        <w:t>nn.Linear</w:t>
      </w:r>
      <w:r>
        <w:t xml:space="preserve"> layers and their goal is to turn context only into Gaussian-mixture parameters:</w:t>
      </w:r>
    </w:p>
    <w:p w14:paraId="48E8B58F" w14:textId="77777777" w:rsidR="00C93BBD" w:rsidRDefault="00C93BBD" w:rsidP="00F05F79"/>
    <w:p w14:paraId="2289FB14" w14:textId="77777777" w:rsidR="00C93BBD" w:rsidRDefault="00C93BBD" w:rsidP="00F05F79"/>
    <w:p w14:paraId="2271F6B9" w14:textId="77777777" w:rsidR="00C93BBD" w:rsidRDefault="00000000" w:rsidP="00F05F79">
      <w:pPr>
        <w:rPr>
          <w:rFonts w:eastAsiaTheme="minorEastAsia" w:cs="Consolas"/>
          <w:szCs w:val="19"/>
        </w:rPr>
      </w:pPr>
      <w:r>
        <w:t xml:space="preserve">In the method </w:t>
      </w:r>
      <w:r w:rsidRPr="00F823CE">
        <w:rPr>
          <w:rFonts w:ascii="Consolas" w:eastAsiaTheme="minorEastAsia" w:hAnsi="Consolas" w:cs="Consolas"/>
          <w:sz w:val="17"/>
          <w:szCs w:val="17"/>
        </w:rPr>
        <w:t>MixtureGaussianVTheta</w:t>
      </w:r>
      <w:r>
        <w:rPr>
          <w:rFonts w:ascii="Consolas" w:eastAsiaTheme="minorEastAsia" w:hAnsi="Consolas" w:cs="Consolas"/>
          <w:sz w:val="17"/>
          <w:szCs w:val="17"/>
        </w:rPr>
        <w:t>::_components</w:t>
      </w:r>
      <w:r>
        <w:rPr>
          <w:rFonts w:eastAsiaTheme="minorEastAsia" w:cs="Consolas"/>
          <w:szCs w:val="19"/>
        </w:rPr>
        <w:t xml:space="preserve"> the following happens</w:t>
      </w:r>
    </w:p>
    <w:p w14:paraId="0912E37D" w14:textId="77777777" w:rsidR="00C93BBD" w:rsidRDefault="00C93BBD" w:rsidP="00F05F79">
      <w:pPr>
        <w:rPr>
          <w:rFonts w:eastAsiaTheme="minorEastAsia" w:cs="Consolas"/>
          <w:szCs w:val="19"/>
        </w:rPr>
      </w:pPr>
    </w:p>
    <w:p w14:paraId="34ADE271" w14:textId="77777777" w:rsidR="00C93BBD" w:rsidRDefault="00000000" w:rsidP="00F05F79">
      <w:pPr>
        <w:rPr>
          <w:rFonts w:eastAsiaTheme="minorEastAsia"/>
          <w:szCs w:val="19"/>
        </w:rPr>
      </w:pPr>
      <m:oMath>
        <m:r>
          <w:rPr>
            <w:rFonts w:ascii="Cambria Math" w:hAnsi="Cambria Math"/>
            <w:szCs w:val="19"/>
          </w:rPr>
          <m:t>μ=</m:t>
        </m:r>
        <m:r>
          <m:rPr>
            <m:sty m:val="p"/>
          </m:rPr>
          <w:rPr>
            <w:rFonts w:ascii="Cambria Math" w:hAnsi="Cambria Math"/>
            <w:szCs w:val="19"/>
          </w:rPr>
          <m:t>reshape</m:t>
        </m:r>
        <m:d>
          <m:dPr>
            <m:ctrlPr>
              <w:rPr>
                <w:rFonts w:ascii="Cambria Math" w:hAnsi="Cambria Math"/>
                <w:i/>
                <w:szCs w:val="19"/>
              </w:rPr>
            </m:ctrlPr>
          </m:dPr>
          <m:e>
            <m:r>
              <m:rPr>
                <m:sty m:val="p"/>
              </m:rPr>
              <w:rPr>
                <w:rFonts w:ascii="Cambria Math" w:hAnsi="Cambria Math"/>
                <w:szCs w:val="19"/>
              </w:rPr>
              <m:t>mu_proj</m:t>
            </m:r>
            <m:d>
              <m:dPr>
                <m:ctrlPr>
                  <w:rPr>
                    <w:rFonts w:ascii="Cambria Math"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Pr>
          <w:rFonts w:eastAsiaTheme="minorEastAsia"/>
          <w:szCs w:val="19"/>
        </w:rPr>
        <w:t xml:space="preserve"> </w:t>
      </w:r>
    </w:p>
    <w:p w14:paraId="0DD4CD17" w14:textId="77777777" w:rsidR="00C93BBD" w:rsidRDefault="00000000" w:rsidP="00F05F79">
      <w:pPr>
        <w:rPr>
          <w:rFonts w:eastAsiaTheme="minorEastAsia"/>
          <w:szCs w:val="19"/>
        </w:rPr>
      </w:pPr>
      <m:oMath>
        <m:r>
          <w:rPr>
            <w:rFonts w:ascii="Cambria Math" w:hAnsi="Cambria Math"/>
            <w:szCs w:val="19"/>
          </w:rPr>
          <m:t xml:space="preserve">a = </m:t>
        </m:r>
        <m:r>
          <m:rPr>
            <m:sty m:val="p"/>
          </m:rPr>
          <w:rPr>
            <w:rFonts w:ascii="Cambria Math" w:eastAsiaTheme="minorEastAsia" w:hAnsi="Cambria Math"/>
            <w:szCs w:val="19"/>
          </w:rPr>
          <m:t>softplus</m:t>
        </m:r>
        <m:d>
          <m:dPr>
            <m:ctrlPr>
              <w:rPr>
                <w:rFonts w:ascii="Cambria Math" w:eastAsiaTheme="minorEastAsia" w:hAnsi="Cambria Math"/>
                <w:i/>
                <w:szCs w:val="19"/>
              </w:rPr>
            </m:ctrlPr>
          </m:dPr>
          <m:e>
            <m:r>
              <m:rPr>
                <m:sty m:val="p"/>
              </m:rPr>
              <w:rPr>
                <w:rFonts w:ascii="Cambria Math" w:eastAsiaTheme="minorEastAsia" w:hAnsi="Cambria Math"/>
                <w:szCs w:val="19"/>
              </w:rPr>
              <m:t>a_proj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Pr>
          <w:rFonts w:eastAsiaTheme="minorEastAsia"/>
          <w:szCs w:val="19"/>
        </w:rPr>
        <w:t xml:space="preserve"> </w:t>
      </w:r>
      <m:oMath>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Pr>
          <w:rFonts w:eastAsiaTheme="minorEastAsia"/>
          <w:szCs w:val="19"/>
        </w:rPr>
        <w:t xml:space="preserve"> (then optional clamp) </w:t>
      </w:r>
    </w:p>
    <w:p w14:paraId="37CC9C22" w14:textId="77777777" w:rsidR="00C93BBD" w:rsidRDefault="00000000" w:rsidP="00F05F79">
      <w:pPr>
        <w:rPr>
          <w:rFonts w:eastAsiaTheme="minorEastAsia"/>
          <w:szCs w:val="19"/>
        </w:rPr>
      </w:pPr>
      <m:oMath>
        <m:r>
          <w:rPr>
            <w:rFonts w:ascii="Cambria Math" w:eastAsiaTheme="minorEastAsia" w:hAnsi="Cambria Math"/>
            <w:szCs w:val="19"/>
          </w:rPr>
          <m:t xml:space="preserve">w = </m:t>
        </m:r>
        <m:sSub>
          <m:sSubPr>
            <m:ctrlPr>
              <w:rPr>
                <w:rFonts w:ascii="Cambria Math" w:eastAsiaTheme="minorEastAsia" w:hAnsi="Cambria Math"/>
                <w:i/>
                <w:szCs w:val="19"/>
              </w:rPr>
            </m:ctrlPr>
          </m:sSubPr>
          <m:e>
            <m:r>
              <w:rPr>
                <w:rFonts w:ascii="Cambria Math" w:eastAsiaTheme="minorEastAsia" w:hAnsi="Cambria Math"/>
                <w:szCs w:val="19"/>
              </w:rPr>
              <m:t>w</m:t>
            </m:r>
          </m:e>
          <m:sub>
            <m:r>
              <m:rPr>
                <m:sty m:val="p"/>
              </m:rPr>
              <w:rPr>
                <w:rFonts w:ascii="Cambria Math" w:eastAsiaTheme="minorEastAsia" w:hAnsi="Cambria Math"/>
                <w:szCs w:val="19"/>
              </w:rPr>
              <m:t>scale</m:t>
            </m:r>
          </m:sub>
        </m:sSub>
        <m:r>
          <w:rPr>
            <w:rFonts w:ascii="Cambria Math" w:eastAsiaTheme="minorEastAsia" w:hAnsi="Cambria Math"/>
            <w:szCs w:val="19"/>
          </w:rPr>
          <m:t>∙</m:t>
        </m:r>
        <m:r>
          <m:rPr>
            <m:sty m:val="p"/>
          </m:rPr>
          <w:rPr>
            <w:rFonts w:ascii="Cambria Math" w:eastAsiaTheme="minorEastAsia" w:hAnsi="Cambria Math"/>
            <w:szCs w:val="19"/>
          </w:rPr>
          <m:t>softmax</m:t>
        </m:r>
        <m:d>
          <m:dPr>
            <m:ctrlPr>
              <w:rPr>
                <w:rFonts w:ascii="Cambria Math" w:eastAsiaTheme="minorEastAsia" w:hAnsi="Cambria Math"/>
                <w:i/>
                <w:szCs w:val="19"/>
              </w:rPr>
            </m:ctrlPr>
          </m:dPr>
          <m:e>
            <m:r>
              <m:rPr>
                <m:sty m:val="p"/>
              </m:rPr>
              <w:rPr>
                <w:rFonts w:ascii="Cambria Math" w:eastAsiaTheme="minorEastAsia" w:hAnsi="Cambria Math"/>
                <w:szCs w:val="19"/>
              </w:rPr>
              <m:t>w_proj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sup>
        </m:sSup>
      </m:oMath>
      <w:r>
        <w:rPr>
          <w:rFonts w:eastAsiaTheme="minorEastAsia"/>
          <w:szCs w:val="19"/>
        </w:rPr>
        <w:t xml:space="preserve"> </w:t>
      </w:r>
    </w:p>
    <w:p w14:paraId="3F8EA7B5" w14:textId="77777777" w:rsidR="00C93BBD" w:rsidRDefault="00C93BBD" w:rsidP="00F05F79">
      <w:pPr>
        <w:rPr>
          <w:rFonts w:eastAsiaTheme="minorEastAsia"/>
          <w:szCs w:val="19"/>
        </w:rPr>
      </w:pPr>
    </w:p>
    <w:p w14:paraId="5EC49F0C" w14:textId="77777777" w:rsidR="00C93BBD" w:rsidRDefault="00000000" w:rsidP="00F05F79">
      <w:pPr>
        <w:rPr>
          <w:szCs w:val="19"/>
        </w:rPr>
      </w:pPr>
      <w:r>
        <w:rPr>
          <w:szCs w:val="19"/>
        </w:rPr>
        <w:t>The potential for a single bank for isotropic Gaussian family is then:</w:t>
      </w:r>
    </w:p>
    <w:p w14:paraId="38167676" w14:textId="77777777" w:rsidR="00C93BBD" w:rsidRDefault="00C93BBD" w:rsidP="00F05F79">
      <w:pPr>
        <w:rPr>
          <w:szCs w:val="19"/>
        </w:rPr>
      </w:pPr>
    </w:p>
    <w:p w14:paraId="50CB644F" w14:textId="77777777" w:rsidR="00C93BBD" w:rsidRDefault="00000000" w:rsidP="00F05F79">
      <w:pPr>
        <w:rPr>
          <w:rFonts w:eastAsiaTheme="minorEastAsia"/>
          <w:szCs w:val="19"/>
        </w:rPr>
      </w:pPr>
      <m:oMath>
        <m:r>
          <w:rPr>
            <w:rFonts w:ascii="Cambria Math" w:hAnsi="Cambria Math"/>
            <w:szCs w:val="19"/>
          </w:rPr>
          <m:t>V</m:t>
        </m:r>
        <m:d>
          <m:dPr>
            <m:ctrlPr>
              <w:rPr>
                <w:rFonts w:ascii="Cambria Math" w:hAnsi="Cambria Math"/>
                <w:i/>
                <w:szCs w:val="19"/>
              </w:rPr>
            </m:ctrlPr>
          </m:dPr>
          <m:e>
            <m:r>
              <w:rPr>
                <w:rFonts w:ascii="Cambria Math" w:hAnsi="Cambria Math"/>
                <w:szCs w:val="19"/>
              </w:rPr>
              <m:t>ξ,h</m:t>
            </m:r>
          </m:e>
        </m:d>
        <m:r>
          <w:rPr>
            <w:rFonts w:ascii="Cambria Math" w:hAnsi="Cambria Math"/>
            <w:szCs w:val="19"/>
          </w:rPr>
          <m:t>=-</m:t>
        </m:r>
        <m:nary>
          <m:naryPr>
            <m:chr m:val="∑"/>
            <m:limLoc m:val="undOvr"/>
            <m:ctrlPr>
              <w:rPr>
                <w:rFonts w:ascii="Cambria Math" w:hAnsi="Cambria Math"/>
                <w:i/>
                <w:szCs w:val="19"/>
              </w:rPr>
            </m:ctrlPr>
          </m:naryPr>
          <m:sub>
            <m:r>
              <w:rPr>
                <w:rFonts w:ascii="Cambria Math" w:hAnsi="Cambria Math"/>
                <w:szCs w:val="19"/>
              </w:rPr>
              <m:t>k=1</m:t>
            </m:r>
          </m:sub>
          <m:sup>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d>
              <m:dPr>
                <m:ctrlPr>
                  <w:rPr>
                    <w:rFonts w:ascii="Cambria Math" w:hAnsi="Cambria Math"/>
                    <w:i/>
                    <w:szCs w:val="19"/>
                  </w:rPr>
                </m:ctrlPr>
              </m:dPr>
              <m:e>
                <m:r>
                  <w:rPr>
                    <w:rFonts w:ascii="Cambria Math" w:hAnsi="Cambria Math"/>
                    <w:szCs w:val="19"/>
                  </w:rPr>
                  <m:t>ξ</m:t>
                </m:r>
              </m:e>
            </m:d>
          </m:e>
        </m:nary>
        <m:func>
          <m:funcPr>
            <m:ctrlPr>
              <w:rPr>
                <w:rFonts w:ascii="Cambria Math" w:hAnsi="Cambria Math"/>
                <w:i/>
                <w:szCs w:val="19"/>
              </w:rPr>
            </m:ctrlPr>
          </m:funcPr>
          <m:fName>
            <m:r>
              <m:rPr>
                <m:sty m:val="p"/>
              </m:rPr>
              <w:rPr>
                <w:rFonts w:ascii="Cambria Math" w:hAnsi="Cambria Math"/>
                <w:szCs w:val="19"/>
              </w:rPr>
              <m:t>exp</m:t>
            </m:r>
          </m:fName>
          <m:e>
            <m:d>
              <m:dPr>
                <m:ctrlPr>
                  <w:rPr>
                    <w:rFonts w:ascii="Cambria Math" w:hAnsi="Cambria Math"/>
                    <w:i/>
                    <w:szCs w:val="19"/>
                  </w:rPr>
                </m:ctrlPr>
              </m:dPr>
              <m:e>
                <m:r>
                  <w:rPr>
                    <w:rFonts w:ascii="Cambria Math" w:hAnsi="Cambria Math"/>
                    <w:szCs w:val="19"/>
                  </w:rPr>
                  <m:t>-</m:t>
                </m:r>
                <m:f>
                  <m:fPr>
                    <m:ctrlPr>
                      <w:rPr>
                        <w:rFonts w:ascii="Cambria Math" w:hAnsi="Cambria Math"/>
                        <w:i/>
                        <w:szCs w:val="19"/>
                      </w:rPr>
                    </m:ctrlPr>
                  </m:fPr>
                  <m:num>
                    <m:r>
                      <w:rPr>
                        <w:rFonts w:ascii="Cambria Math" w:hAnsi="Cambria Math"/>
                        <w:szCs w:val="19"/>
                      </w:rPr>
                      <m:t>1</m:t>
                    </m:r>
                  </m:num>
                  <m:den>
                    <m:r>
                      <w:rPr>
                        <w:rFonts w:ascii="Cambria Math" w:hAnsi="Cambria Math"/>
                        <w:szCs w:val="19"/>
                      </w:rPr>
                      <m:t>2</m:t>
                    </m:r>
                  </m:den>
                </m:f>
                <m:nary>
                  <m:naryPr>
                    <m:chr m:val="∑"/>
                    <m:limLoc m:val="undOvr"/>
                    <m:ctrlPr>
                      <w:rPr>
                        <w:rFonts w:ascii="Cambria Math" w:hAnsi="Cambria Math"/>
                        <w:i/>
                        <w:szCs w:val="19"/>
                      </w:rPr>
                    </m:ctrlPr>
                  </m:naryPr>
                  <m:sub>
                    <m:r>
                      <w:rPr>
                        <w:rFonts w:ascii="Cambria Math" w:hAnsi="Cambria Math"/>
                        <w:szCs w:val="19"/>
                      </w:rPr>
                      <m:t>i=1</m:t>
                    </m:r>
                  </m:sub>
                  <m:sup>
                    <m:r>
                      <w:rPr>
                        <w:rFonts w:ascii="Cambria Math" w:hAnsi="Cambria Math"/>
                        <w:szCs w:val="19"/>
                      </w:rPr>
                      <m:t>d</m:t>
                    </m:r>
                  </m:sup>
                  <m:e>
                    <m:sSub>
                      <m:sSubPr>
                        <m:ctrlPr>
                          <w:rPr>
                            <w:rFonts w:ascii="Cambria Math" w:hAnsi="Cambria Math"/>
                            <w:i/>
                            <w:szCs w:val="19"/>
                          </w:rPr>
                        </m:ctrlPr>
                      </m:sSubPr>
                      <m:e>
                        <m:r>
                          <w:rPr>
                            <w:rFonts w:ascii="Cambria Math" w:hAnsi="Cambria Math"/>
                            <w:szCs w:val="19"/>
                          </w:rPr>
                          <m:t>a</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nary>
                <m:sSup>
                  <m:sSupPr>
                    <m:ctrlPr>
                      <w:rPr>
                        <w:rFonts w:ascii="Cambria Math" w:hAnsi="Cambria Math"/>
                        <w:i/>
                        <w:szCs w:val="19"/>
                      </w:rPr>
                    </m:ctrlPr>
                  </m:sSupPr>
                  <m:e>
                    <m:d>
                      <m:dPr>
                        <m:ctrlPr>
                          <w:rPr>
                            <w:rFonts w:ascii="Cambria Math" w:hAnsi="Cambria Math"/>
                            <w:i/>
                            <w:szCs w:val="19"/>
                          </w:rPr>
                        </m:ctrlPr>
                      </m:dPr>
                      <m:e>
                        <m:sSub>
                          <m:sSubPr>
                            <m:ctrlPr>
                              <w:rPr>
                                <w:rFonts w:ascii="Cambria Math" w:hAnsi="Cambria Math"/>
                                <w:i/>
                                <w:szCs w:val="19"/>
                              </w:rPr>
                            </m:ctrlPr>
                          </m:sSubPr>
                          <m:e>
                            <m:r>
                              <w:rPr>
                                <w:rFonts w:ascii="Cambria Math" w:hAnsi="Cambria Math"/>
                                <w:szCs w:val="19"/>
                              </w:rPr>
                              <m:t>h</m:t>
                            </m:r>
                          </m:e>
                          <m:sub>
                            <m:r>
                              <w:rPr>
                                <w:rFonts w:ascii="Cambria Math" w:hAnsi="Cambria Math"/>
                                <w:szCs w:val="19"/>
                              </w:rPr>
                              <m:t>i</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μ</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d>
                  </m:e>
                  <m:sup>
                    <m:r>
                      <w:rPr>
                        <w:rFonts w:ascii="Cambria Math" w:hAnsi="Cambria Math"/>
                        <w:szCs w:val="19"/>
                      </w:rPr>
                      <m:t>2</m:t>
                    </m:r>
                  </m:sup>
                </m:sSup>
              </m:e>
            </m:d>
          </m:e>
        </m:func>
      </m:oMath>
      <w:r>
        <w:rPr>
          <w:rFonts w:eastAsiaTheme="minorEastAsia"/>
          <w:szCs w:val="19"/>
        </w:rPr>
        <w:t xml:space="preserve">      (igp.1)</w:t>
      </w:r>
    </w:p>
    <w:p w14:paraId="25D40391" w14:textId="77777777" w:rsidR="00C93BBD" w:rsidRDefault="00C93BBD" w:rsidP="00F05F79">
      <w:pPr>
        <w:rPr>
          <w:rFonts w:eastAsiaTheme="minorEastAsia"/>
          <w:szCs w:val="19"/>
        </w:rPr>
      </w:pPr>
    </w:p>
    <w:p w14:paraId="5199957C" w14:textId="77777777" w:rsidR="00C93BBD" w:rsidRDefault="00000000" w:rsidP="00F05F79">
      <w:pPr>
        <w:rPr>
          <w:rFonts w:eastAsiaTheme="minorEastAsia"/>
          <w:szCs w:val="19"/>
        </w:rPr>
      </w:pPr>
      <w:r>
        <w:rPr>
          <w:rFonts w:eastAsiaTheme="minorEastAsia"/>
          <w:szCs w:val="19"/>
        </w:rPr>
        <w:t>So,</w:t>
      </w:r>
    </w:p>
    <w:p w14:paraId="0C089EA6" w14:textId="77777777" w:rsidR="00C93BBD" w:rsidRDefault="00C93BBD" w:rsidP="00F05F79">
      <w:pPr>
        <w:rPr>
          <w:rFonts w:eastAsiaTheme="minorEastAsia"/>
          <w:szCs w:val="19"/>
        </w:rPr>
      </w:pPr>
    </w:p>
    <w:p w14:paraId="41BB0FA9" w14:textId="77777777" w:rsidR="00C93BBD" w:rsidRPr="00582156" w:rsidRDefault="00000000" w:rsidP="00582156">
      <w:pPr>
        <w:rPr>
          <w:rFonts w:eastAsiaTheme="minorEastAsia"/>
          <w:szCs w:val="19"/>
        </w:rPr>
      </w:pPr>
      <w:r>
        <w:rPr>
          <w:rFonts w:eastAsiaTheme="minorEastAsia"/>
          <w:szCs w:val="19"/>
        </w:rPr>
        <w:t xml:space="preserve">  </w:t>
      </w:r>
      <w:r w:rsidRPr="001A3DB8">
        <w:rPr>
          <w:rFonts w:ascii="Consolas" w:eastAsiaTheme="minorEastAsia" w:hAnsi="Consolas" w:cs="Consolas"/>
          <w:sz w:val="17"/>
          <w:szCs w:val="17"/>
        </w:rPr>
        <w:t>mu_proj</w:t>
      </w:r>
      <w:r>
        <w:rPr>
          <w:rFonts w:eastAsiaTheme="minorEastAsia"/>
          <w:szCs w:val="19"/>
        </w:rPr>
        <w:t xml:space="preserve"> tells us where is the well </w:t>
      </w:r>
      <m:oMath>
        <m:r>
          <w:rPr>
            <w:rFonts w:ascii="Cambria Math" w:eastAsiaTheme="minorEastAsia" w:hAnsi="Cambria Math"/>
            <w:szCs w:val="19"/>
          </w:rPr>
          <m:t>k</m:t>
        </m:r>
      </m:oMath>
      <w:r>
        <w:rPr>
          <w:rFonts w:eastAsiaTheme="minorEastAsia"/>
          <w:szCs w:val="19"/>
        </w:rPr>
        <w:t xml:space="preserve">. It is </w:t>
      </w:r>
      <w:r w:rsidRPr="00794A71">
        <w:rPr>
          <w:rFonts w:eastAsiaTheme="minorEastAsia"/>
          <w:i/>
          <w:iCs/>
          <w:szCs w:val="19"/>
        </w:rPr>
        <w:t>affine</w:t>
      </w:r>
      <w:r>
        <w:rPr>
          <w:rFonts w:eastAsiaTheme="minorEastAsia"/>
          <w:szCs w:val="19"/>
        </w:rPr>
        <w:t xml:space="preserve"> in </w:t>
      </w:r>
      <m:oMath>
        <m:r>
          <w:rPr>
            <w:rFonts w:ascii="Cambria Math" w:eastAsiaTheme="minorEastAsia" w:hAnsi="Cambria Math"/>
            <w:szCs w:val="19"/>
          </w:rPr>
          <m:t>ξ</m:t>
        </m:r>
      </m:oMath>
      <w:r>
        <w:rPr>
          <w:rFonts w:eastAsiaTheme="minorEastAsia"/>
          <w:szCs w:val="19"/>
        </w:rPr>
        <w:t xml:space="preserve"> because </w:t>
      </w:r>
      <w:r w:rsidRPr="003214E6">
        <w:rPr>
          <w:rFonts w:ascii="Consolas" w:hAnsi="Consolas" w:cs="Consolas"/>
          <w:sz w:val="17"/>
          <w:szCs w:val="17"/>
        </w:rPr>
        <w:t>mu_proj</w:t>
      </w:r>
      <w:r>
        <w:rPr>
          <w:szCs w:val="19"/>
        </w:rPr>
        <w:t xml:space="preserve"> is implemented as </w:t>
      </w:r>
      <w:r w:rsidRPr="003214E6">
        <w:rPr>
          <w:rFonts w:ascii="Consolas" w:hAnsi="Consolas" w:cs="Consolas"/>
          <w:sz w:val="17"/>
          <w:szCs w:val="17"/>
        </w:rPr>
        <w:t>nn.Linear</w:t>
      </w:r>
      <w:r>
        <w:rPr>
          <w:szCs w:val="19"/>
        </w:rPr>
        <w:t xml:space="preserve">, that is: </w:t>
      </w:r>
      <w:r>
        <w:rPr>
          <w:rFonts w:eastAsiaTheme="minorEastAsia"/>
          <w:szCs w:val="19"/>
        </w:rPr>
        <w:t xml:space="preserve"> </w:t>
      </w:r>
      <m:oMath>
        <m:r>
          <w:rPr>
            <w:rFonts w:ascii="Cambria Math" w:eastAsiaTheme="minorEastAsia" w:hAnsi="Cambria Math"/>
            <w:szCs w:val="19"/>
          </w:rPr>
          <m:t>μ</m:t>
        </m:r>
        <m:d>
          <m:dPr>
            <m:ctrlPr>
              <w:rPr>
                <w:rFonts w:ascii="Cambria Math" w:eastAsiaTheme="minorEastAsia" w:hAnsi="Cambria Math"/>
                <w:i/>
                <w:szCs w:val="19"/>
              </w:rPr>
            </m:ctrlPr>
          </m:dPr>
          <m:e>
            <m:r>
              <w:rPr>
                <w:rFonts w:ascii="Cambria Math" w:eastAsiaTheme="minorEastAsia" w:hAnsi="Cambria Math"/>
                <w:szCs w:val="19"/>
              </w:rPr>
              <m:t>ξ</m:t>
            </m:r>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W</m:t>
            </m:r>
          </m:e>
          <m:sub>
            <m:r>
              <w:rPr>
                <w:rFonts w:ascii="Cambria Math" w:eastAsiaTheme="minorEastAsia" w:hAnsi="Cambria Math"/>
                <w:szCs w:val="19"/>
              </w:rPr>
              <m:t>μ</m:t>
            </m:r>
          </m:sub>
        </m:sSub>
        <m:r>
          <w:rPr>
            <w:rFonts w:ascii="Cambria Math" w:eastAsiaTheme="minorEastAsia" w:hAnsi="Cambria Math"/>
            <w:szCs w:val="19"/>
          </w:rPr>
          <m:t>ξ+</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μ</m:t>
            </m:r>
          </m:sub>
        </m:sSub>
      </m:oMath>
      <w:r>
        <w:rPr>
          <w:rFonts w:eastAsiaTheme="minorEastAsia"/>
          <w:szCs w:val="19"/>
        </w:rPr>
        <w:t>.</w:t>
      </w:r>
    </w:p>
    <w:p w14:paraId="40549991" w14:textId="77777777" w:rsidR="00C93BBD" w:rsidRPr="00465181" w:rsidRDefault="00000000" w:rsidP="00F05F79">
      <w:pPr>
        <w:rPr>
          <w:rFonts w:eastAsiaTheme="minorEastAsia"/>
          <w:szCs w:val="19"/>
        </w:rPr>
      </w:pPr>
      <w:r>
        <w:rPr>
          <w:rFonts w:eastAsiaTheme="minorEastAsia"/>
          <w:szCs w:val="19"/>
        </w:rPr>
        <w:t xml:space="preserve">  </w:t>
      </w:r>
      <w:r w:rsidRPr="00794A71">
        <w:rPr>
          <w:rFonts w:ascii="Consolas" w:eastAsiaTheme="minorEastAsia" w:hAnsi="Consolas" w:cs="Consolas"/>
          <w:sz w:val="17"/>
          <w:szCs w:val="17"/>
        </w:rPr>
        <w:t>a_proj</w:t>
      </w:r>
      <w:r>
        <w:rPr>
          <w:rFonts w:eastAsiaTheme="minorEastAsia"/>
          <w:szCs w:val="19"/>
        </w:rPr>
        <w:t xml:space="preserve"> tells us how sharp well </w:t>
      </w:r>
      <m:oMath>
        <m:r>
          <w:rPr>
            <w:rFonts w:ascii="Cambria Math" w:eastAsiaTheme="minorEastAsia" w:hAnsi="Cambria Math"/>
            <w:szCs w:val="19"/>
          </w:rPr>
          <m:t>k</m:t>
        </m:r>
      </m:oMath>
      <w:r>
        <w:rPr>
          <w:rFonts w:eastAsiaTheme="minorEastAsia"/>
          <w:szCs w:val="19"/>
        </w:rPr>
        <w:t xml:space="preserve"> is along each axis. softplus keeps a &gt; 0. With </w:t>
      </w:r>
      <w:r w:rsidRPr="00041784">
        <w:rPr>
          <w:rFonts w:ascii="Consolas" w:eastAsiaTheme="minorEastAsia" w:hAnsi="Consolas" w:cs="Consolas"/>
          <w:iCs/>
          <w:sz w:val="17"/>
          <w:szCs w:val="17"/>
        </w:rPr>
        <w:t>init_log_precision</w:t>
      </w:r>
      <w:r>
        <w:rPr>
          <w:rFonts w:eastAsiaTheme="minorEastAsia"/>
          <w:iCs/>
          <w:szCs w:val="19"/>
        </w:rPr>
        <w:t xml:space="preserve"> </w:t>
      </w:r>
      <m:oMath>
        <m:r>
          <w:rPr>
            <w:rFonts w:ascii="Cambria Math" w:eastAsiaTheme="minorEastAsia" w:hAnsi="Cambria Math"/>
            <w:szCs w:val="19"/>
          </w:rPr>
          <m:t>=</m:t>
        </m:r>
        <m:func>
          <m:funcPr>
            <m:ctrlPr>
              <w:rPr>
                <w:rFonts w:ascii="Cambria Math" w:eastAsiaTheme="minorEastAsia" w:hAnsi="Cambria Math"/>
                <w:i/>
                <w:szCs w:val="19"/>
              </w:rPr>
            </m:ctrlPr>
          </m:funcPr>
          <m:fName>
            <m:r>
              <m:rPr>
                <m:sty m:val="p"/>
              </m:rPr>
              <w:rPr>
                <w:rFonts w:ascii="Cambria Math" w:eastAsiaTheme="minorEastAsia" w:hAnsi="Cambria Math"/>
                <w:szCs w:val="19"/>
              </w:rPr>
              <m:t>log</m:t>
            </m:r>
          </m:fName>
          <m:e>
            <m:r>
              <w:rPr>
                <w:rFonts w:ascii="Cambria Math" w:eastAsiaTheme="minorEastAsia" w:hAnsi="Cambria Math"/>
                <w:szCs w:val="19"/>
              </w:rPr>
              <m:t>d</m:t>
            </m:r>
          </m:e>
        </m:func>
        <m:r>
          <w:rPr>
            <w:rFonts w:ascii="Cambria Math" w:eastAsiaTheme="minorEastAsia" w:hAnsi="Cambria Math"/>
            <w:szCs w:val="19"/>
          </w:rPr>
          <m:t>, a≈</m:t>
        </m:r>
        <m:f>
          <m:fPr>
            <m:ctrlPr>
              <w:rPr>
                <w:rFonts w:ascii="Cambria Math" w:eastAsiaTheme="minorEastAsia" w:hAnsi="Cambria Math"/>
                <w:i/>
                <w:szCs w:val="19"/>
              </w:rPr>
            </m:ctrlPr>
          </m:fPr>
          <m:num>
            <m:r>
              <w:rPr>
                <w:rFonts w:ascii="Cambria Math" w:eastAsiaTheme="minorEastAsia" w:hAnsi="Cambria Math"/>
                <w:szCs w:val="19"/>
              </w:rPr>
              <m:t>1</m:t>
            </m:r>
          </m:num>
          <m:den>
            <m:r>
              <w:rPr>
                <w:rFonts w:ascii="Cambria Math" w:eastAsiaTheme="minorEastAsia" w:hAnsi="Cambria Math"/>
                <w:szCs w:val="19"/>
              </w:rPr>
              <m:t>d</m:t>
            </m:r>
          </m:den>
        </m:f>
      </m:oMath>
      <w:r>
        <w:rPr>
          <w:rFonts w:eastAsiaTheme="minorEastAsia"/>
          <w:szCs w:val="19"/>
        </w:rPr>
        <w:t xml:space="preserve"> so </w:t>
      </w:r>
      <m:oMath>
        <m:sSub>
          <m:sSubPr>
            <m:ctrlPr>
              <w:rPr>
                <w:rFonts w:ascii="Cambria Math" w:eastAsiaTheme="minorEastAsia" w:hAnsi="Cambria Math"/>
                <w:i/>
                <w:szCs w:val="19"/>
              </w:rPr>
            </m:ctrlPr>
          </m:sSubPr>
          <m:e>
            <m:r>
              <w:rPr>
                <w:rFonts w:ascii="Cambria Math" w:eastAsiaTheme="minorEastAsia" w:hAnsi="Cambria Math"/>
                <w:szCs w:val="19"/>
              </w:rPr>
              <m:t>σ</m:t>
            </m:r>
          </m:e>
          <m:sub>
            <m:r>
              <m:rPr>
                <m:sty m:val="p"/>
              </m:rPr>
              <w:rPr>
                <w:rFonts w:ascii="Cambria Math" w:eastAsiaTheme="minorEastAsia" w:hAnsi="Cambria Math"/>
                <w:szCs w:val="19"/>
              </w:rPr>
              <m:t>eff</m:t>
            </m:r>
          </m:sub>
        </m:sSub>
        <m:r>
          <w:rPr>
            <w:rFonts w:ascii="Cambria Math" w:eastAsiaTheme="minorEastAsia" w:hAnsi="Cambria Math"/>
            <w:szCs w:val="19"/>
          </w:rPr>
          <m:t>≈</m:t>
        </m:r>
        <m:rad>
          <m:radPr>
            <m:degHide m:val="1"/>
            <m:ctrlPr>
              <w:rPr>
                <w:rFonts w:ascii="Cambria Math" w:eastAsiaTheme="minorEastAsia" w:hAnsi="Cambria Math"/>
                <w:i/>
                <w:szCs w:val="19"/>
              </w:rPr>
            </m:ctrlPr>
          </m:radPr>
          <m:deg/>
          <m:e>
            <m:r>
              <w:rPr>
                <w:rFonts w:ascii="Cambria Math" w:eastAsiaTheme="minorEastAsia" w:hAnsi="Cambria Math"/>
                <w:szCs w:val="19"/>
              </w:rPr>
              <m:t>d</m:t>
            </m:r>
          </m:e>
        </m:rad>
      </m:oMath>
      <w:r>
        <w:rPr>
          <w:rFonts w:eastAsiaTheme="minorEastAsia"/>
          <w:szCs w:val="19"/>
        </w:rPr>
        <w:t xml:space="preserve">, matching </w:t>
      </w:r>
      <w:r w:rsidRPr="001428A0">
        <w:rPr>
          <w:rFonts w:ascii="Consolas" w:eastAsiaTheme="minorEastAsia" w:hAnsi="Consolas" w:cs="Consolas"/>
          <w:sz w:val="17"/>
          <w:szCs w:val="17"/>
        </w:rPr>
        <w:t>LayerNorm</w:t>
      </w:r>
      <w:r>
        <w:rPr>
          <w:rFonts w:eastAsiaTheme="minorEastAsia"/>
          <w:szCs w:val="19"/>
        </w:rPr>
        <w:t xml:space="preserve"> scale. </w:t>
      </w:r>
      <w:r w:rsidRPr="00794A71">
        <w:rPr>
          <w:rFonts w:ascii="Consolas" w:eastAsiaTheme="minorEastAsia" w:hAnsi="Consolas" w:cs="Consolas"/>
          <w:sz w:val="17"/>
          <w:szCs w:val="17"/>
        </w:rPr>
        <w:t>a_proj</w:t>
      </w:r>
      <w:r>
        <w:rPr>
          <w:rFonts w:eastAsiaTheme="minorEastAsia" w:cs="Consolas"/>
          <w:szCs w:val="19"/>
        </w:rPr>
        <w:t xml:space="preserve">, being </w:t>
      </w:r>
      <w:r w:rsidRPr="003214E6">
        <w:rPr>
          <w:rFonts w:ascii="Consolas" w:hAnsi="Consolas" w:cs="Consolas"/>
          <w:sz w:val="17"/>
          <w:szCs w:val="17"/>
        </w:rPr>
        <w:t>nn.Linear</w:t>
      </w:r>
      <w:r>
        <w:rPr>
          <w:rFonts w:eastAsiaTheme="minorEastAsia" w:cs="Consolas"/>
          <w:szCs w:val="19"/>
        </w:rPr>
        <w:t xml:space="preserve">, renders </w:t>
      </w:r>
      <m:oMath>
        <m:r>
          <w:rPr>
            <w:rFonts w:ascii="Cambria Math" w:eastAsiaTheme="minorEastAsia" w:hAnsi="Cambria Math" w:cs="Consolas"/>
            <w:szCs w:val="19"/>
          </w:rPr>
          <m:t>a</m:t>
        </m:r>
        <m:d>
          <m:dPr>
            <m:ctrlPr>
              <w:rPr>
                <w:rFonts w:ascii="Cambria Math" w:eastAsiaTheme="minorEastAsia" w:hAnsi="Cambria Math" w:cs="Consolas"/>
                <w:i/>
                <w:szCs w:val="19"/>
              </w:rPr>
            </m:ctrlPr>
          </m:dPr>
          <m:e>
            <m:r>
              <w:rPr>
                <w:rFonts w:ascii="Cambria Math" w:eastAsiaTheme="minorEastAsia" w:hAnsi="Cambria Math"/>
                <w:szCs w:val="19"/>
              </w:rPr>
              <m:t>ξ</m:t>
            </m:r>
          </m:e>
        </m:d>
        <m:r>
          <w:rPr>
            <w:rFonts w:ascii="Cambria Math" w:eastAsiaTheme="minorEastAsia" w:hAnsi="Cambria Math" w:cs="Consolas"/>
            <w:szCs w:val="19"/>
          </w:rPr>
          <m:t>=</m:t>
        </m:r>
        <m:r>
          <m:rPr>
            <m:sty m:val="p"/>
          </m:rPr>
          <w:rPr>
            <w:rFonts w:ascii="Cambria Math" w:eastAsiaTheme="minorEastAsia" w:hAnsi="Cambria Math" w:cs="Consolas"/>
            <w:szCs w:val="19"/>
          </w:rPr>
          <m:t>softplus</m:t>
        </m:r>
        <m:d>
          <m:dPr>
            <m:ctrlPr>
              <w:rPr>
                <w:rFonts w:ascii="Cambria Math" w:eastAsiaTheme="minorEastAsia" w:hAnsi="Cambria Math" w:cs="Consolas"/>
                <w:i/>
                <w:szCs w:val="19"/>
              </w:rPr>
            </m:ctrlPr>
          </m:dPr>
          <m:e>
            <m:sSub>
              <m:sSubPr>
                <m:ctrlPr>
                  <w:rPr>
                    <w:rFonts w:ascii="Cambria Math" w:eastAsiaTheme="minorEastAsia" w:hAnsi="Cambria Math" w:cs="Consolas"/>
                    <w:i/>
                    <w:szCs w:val="19"/>
                  </w:rPr>
                </m:ctrlPr>
              </m:sSubPr>
              <m:e>
                <m:r>
                  <w:rPr>
                    <w:rFonts w:ascii="Cambria Math" w:eastAsiaTheme="minorEastAsia" w:hAnsi="Cambria Math" w:cs="Consolas"/>
                    <w:szCs w:val="19"/>
                  </w:rPr>
                  <m:t>W</m:t>
                </m:r>
              </m:e>
              <m:sub>
                <m:r>
                  <w:rPr>
                    <w:rFonts w:ascii="Cambria Math" w:eastAsiaTheme="minorEastAsia" w:hAnsi="Cambria Math" w:cs="Consolas"/>
                    <w:szCs w:val="19"/>
                  </w:rPr>
                  <m:t>a</m:t>
                </m:r>
              </m:sub>
            </m:sSub>
            <m:r>
              <w:rPr>
                <w:rFonts w:ascii="Cambria Math" w:eastAsiaTheme="minorEastAsia" w:hAnsi="Cambria Math"/>
                <w:szCs w:val="19"/>
              </w:rPr>
              <m:t>ξ+</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a</m:t>
                </m:r>
              </m:sub>
            </m:sSub>
          </m:e>
        </m:d>
        <m:r>
          <w:rPr>
            <w:rFonts w:ascii="Cambria Math" w:eastAsiaTheme="minorEastAsia" w:hAnsi="Cambria Math" w:cs="Consolas"/>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Pr>
          <w:rFonts w:eastAsiaTheme="minorEastAsia" w:cs="Consolas"/>
          <w:szCs w:val="19"/>
        </w:rPr>
        <w:t xml:space="preserve"> which clearly is not affine transformation.</w:t>
      </w:r>
    </w:p>
    <w:p w14:paraId="08941AFC" w14:textId="77777777" w:rsidR="00C93BBD" w:rsidRDefault="00000000" w:rsidP="00F05F79">
      <w:pPr>
        <w:rPr>
          <w:szCs w:val="19"/>
        </w:rPr>
      </w:pPr>
      <w:r>
        <w:rPr>
          <w:szCs w:val="19"/>
        </w:rPr>
        <w:t xml:space="preserve">  </w:t>
      </w:r>
      <w:r w:rsidRPr="004E112E">
        <w:rPr>
          <w:rFonts w:ascii="Consolas" w:hAnsi="Consolas" w:cs="Consolas"/>
          <w:sz w:val="17"/>
          <w:szCs w:val="17"/>
        </w:rPr>
        <w:t>w_proj</w:t>
      </w:r>
      <w:r>
        <w:rPr>
          <w:szCs w:val="19"/>
        </w:rPr>
        <w:t xml:space="preserve"> tells us which wells of the bank are </w:t>
      </w:r>
      <w:r w:rsidRPr="004E112E">
        <w:rPr>
          <w:b/>
          <w:bCs/>
          <w:i/>
          <w:iCs/>
          <w:szCs w:val="19"/>
        </w:rPr>
        <w:t>on</w:t>
      </w:r>
      <w:r>
        <w:rPr>
          <w:szCs w:val="19"/>
        </w:rPr>
        <w:t xml:space="preserve"> for this context ; softmax scales </w:t>
      </w:r>
      <m:oMath>
        <m:nary>
          <m:naryPr>
            <m:chr m:val="∑"/>
            <m:limLoc m:val="undOvr"/>
            <m:supHide m:val="1"/>
            <m:ctrlPr>
              <w:rPr>
                <w:rFonts w:ascii="Cambria Math" w:hAnsi="Cambria Math"/>
                <w:i/>
                <w:szCs w:val="19"/>
              </w:rPr>
            </m:ctrlPr>
          </m:naryPr>
          <m:sub>
            <m:r>
              <w:rPr>
                <w:rFonts w:ascii="Cambria Math" w:hAnsi="Cambria Math"/>
                <w:szCs w:val="19"/>
              </w:rPr>
              <m:t>k</m:t>
            </m:r>
          </m: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e>
        </m:nary>
        <m:r>
          <w:rPr>
            <w:rFonts w:ascii="Cambria Math" w:hAnsi="Cambria Math"/>
            <w:szCs w:val="19"/>
          </w:rPr>
          <m:t>=</m:t>
        </m:r>
        <m:sSub>
          <m:sSubPr>
            <m:ctrlPr>
              <w:rPr>
                <w:rFonts w:ascii="Cambria Math" w:hAnsi="Cambria Math"/>
                <w:i/>
                <w:szCs w:val="19"/>
              </w:rPr>
            </m:ctrlPr>
          </m:sSubPr>
          <m:e>
            <m:r>
              <w:rPr>
                <w:rFonts w:ascii="Cambria Math" w:hAnsi="Cambria Math"/>
                <w:szCs w:val="19"/>
              </w:rPr>
              <m:t>w</m:t>
            </m:r>
          </m:e>
          <m:sub>
            <m:r>
              <m:rPr>
                <m:sty m:val="p"/>
              </m:rPr>
              <w:rPr>
                <w:rFonts w:ascii="Cambria Math" w:hAnsi="Cambria Math"/>
                <w:szCs w:val="19"/>
              </w:rPr>
              <m:t>scale</m:t>
            </m:r>
          </m:sub>
        </m:sSub>
      </m:oMath>
      <w:r>
        <w:rPr>
          <w:rFonts w:eastAsiaTheme="minorEastAsia"/>
          <w:szCs w:val="19"/>
        </w:rPr>
        <w:t xml:space="preserve"> which is usually </w:t>
      </w:r>
      <m:oMath>
        <m:r>
          <w:rPr>
            <w:rFonts w:ascii="Cambria Math" w:eastAsiaTheme="minorEastAsia" w:hAnsi="Cambria Math"/>
            <w:szCs w:val="19"/>
          </w:rPr>
          <m:t>1</m:t>
        </m:r>
      </m:oMath>
      <w:r>
        <w:rPr>
          <w:rFonts w:eastAsiaTheme="minorEastAsia"/>
          <w:szCs w:val="19"/>
        </w:rPr>
        <w:t>.</w:t>
      </w:r>
    </w:p>
    <w:p w14:paraId="34DBD7B7" w14:textId="77777777" w:rsidR="00C93BBD" w:rsidRDefault="00C93BBD" w:rsidP="00F05F79">
      <w:pPr>
        <w:rPr>
          <w:szCs w:val="19"/>
        </w:rPr>
      </w:pPr>
    </w:p>
    <w:p w14:paraId="70EF5AB9" w14:textId="77777777" w:rsidR="00C93BBD" w:rsidRDefault="00000000" w:rsidP="00F05F79">
      <w:pPr>
        <w:rPr>
          <w:rFonts w:eastAsiaTheme="minorEastAsia"/>
          <w:szCs w:val="19"/>
        </w:rPr>
      </w:pPr>
      <w:r>
        <w:rPr>
          <w:szCs w:val="19"/>
        </w:rPr>
        <w:t xml:space="preserve">Anisotropic banks add an extra map : </w:t>
      </w:r>
      <w:r w:rsidRPr="00BE4485">
        <w:rPr>
          <w:rFonts w:ascii="Consolas" w:hAnsi="Consolas" w:cs="Consolas"/>
          <w:sz w:val="17"/>
          <w:szCs w:val="17"/>
        </w:rPr>
        <w:t>B_proj</w:t>
      </w:r>
      <w:r>
        <w:rPr>
          <w:szCs w:val="19"/>
        </w:rPr>
        <w:t xml:space="preserve">: </w:t>
      </w:r>
      <m:oMath>
        <m:sSub>
          <m:sSubPr>
            <m:ctrlPr>
              <w:rPr>
                <w:rFonts w:ascii="Cambria Math" w:hAnsi="Cambria Math"/>
                <w:i/>
                <w:szCs w:val="19"/>
              </w:rPr>
            </m:ctrlPr>
          </m:sSubPr>
          <m:e>
            <m:r>
              <w:rPr>
                <w:rFonts w:ascii="Cambria Math" w:hAnsi="Cambria Math"/>
                <w:szCs w:val="19"/>
              </w:rPr>
              <m:t>d</m:t>
            </m:r>
          </m:e>
          <m:sub>
            <m:r>
              <m:rPr>
                <m:sty m:val="p"/>
              </m:rPr>
              <w:rPr>
                <w:rFonts w:ascii="Cambria Math" w:hAnsi="Cambria Math"/>
                <w:szCs w:val="19"/>
              </w:rPr>
              <m:t>in</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r>
          <w:rPr>
            <w:rFonts w:ascii="Cambria Math" w:hAnsi="Cambria Math"/>
            <w:szCs w:val="19"/>
          </w:rPr>
          <m:t>∙d∙r</m:t>
        </m:r>
      </m:oMath>
      <w:r>
        <w:rPr>
          <w:rFonts w:eastAsiaTheme="minorEastAsia"/>
          <w:szCs w:val="19"/>
        </w:rPr>
        <w:t xml:space="preserve">, reshaped to </w:t>
      </w: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d×r</m:t>
            </m:r>
          </m:sup>
        </m:sSup>
      </m:oMath>
      <w:r>
        <w:rPr>
          <w:rFonts w:eastAsiaTheme="minorEastAsia"/>
          <w:szCs w:val="19"/>
        </w:rPr>
        <w:t xml:space="preserve"> so the precision is </w:t>
      </w:r>
      <m:oMath>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oMath>
      <w:r>
        <w:rPr>
          <w:rFonts w:eastAsiaTheme="minorEastAsia"/>
          <w:szCs w:val="19"/>
        </w:rPr>
        <w:t xml:space="preserve">. Here </w:t>
      </w:r>
      <m:oMath>
        <m:r>
          <w:rPr>
            <w:rFonts w:ascii="Cambria Math" w:eastAsiaTheme="minorEastAsia" w:hAnsi="Cambria Math"/>
            <w:szCs w:val="19"/>
          </w:rPr>
          <m:t>r</m:t>
        </m:r>
      </m:oMath>
      <w:r>
        <w:rPr>
          <w:rFonts w:eastAsiaTheme="minorEastAsia"/>
          <w:szCs w:val="19"/>
        </w:rPr>
        <w:t xml:space="preserve"> is the rank of the off-diagonal precision factor for each well – it is given with constructor argument rank , typically is </w:t>
      </w:r>
      <m:oMath>
        <m:r>
          <w:rPr>
            <w:rFonts w:ascii="Cambria Math" w:eastAsiaTheme="minorEastAsia" w:hAnsi="Cambria Math"/>
            <w:szCs w:val="19"/>
          </w:rPr>
          <m:t>4</m:t>
        </m:r>
      </m:oMath>
      <w:r>
        <w:rPr>
          <w:rFonts w:eastAsiaTheme="minorEastAsia"/>
          <w:szCs w:val="19"/>
        </w:rPr>
        <w:t xml:space="preserve"> on OWT anisotropic Gaussian Fock models. Recall, that each anisotropic Gaussian well </w:t>
      </w:r>
      <m:oMath>
        <m:r>
          <w:rPr>
            <w:rFonts w:ascii="Cambria Math" w:eastAsiaTheme="minorEastAsia" w:hAnsi="Cambria Math"/>
            <w:szCs w:val="19"/>
          </w:rPr>
          <m:t>k</m:t>
        </m:r>
      </m:oMath>
      <w:r>
        <w:rPr>
          <w:rFonts w:eastAsiaTheme="minorEastAsia"/>
          <w:szCs w:val="19"/>
        </w:rPr>
        <w:t xml:space="preserve"> has a factor </w:t>
      </w: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d×r</m:t>
            </m:r>
          </m:sup>
        </m:sSup>
      </m:oMath>
      <w:r>
        <w:rPr>
          <w:rFonts w:eastAsiaTheme="minorEastAsia"/>
          <w:szCs w:val="19"/>
        </w:rPr>
        <w:t xml:space="preserve"> obtained from </w:t>
      </w:r>
      <w:r w:rsidRPr="00BE4485">
        <w:rPr>
          <w:rFonts w:ascii="Consolas" w:hAnsi="Consolas" w:cs="Consolas"/>
          <w:sz w:val="17"/>
          <w:szCs w:val="17"/>
        </w:rPr>
        <w:t>B_proj</w:t>
      </w:r>
      <w:r>
        <w:rPr>
          <w:rFonts w:eastAsiaTheme="minorEastAsia"/>
          <w:szCs w:val="19"/>
        </w:rPr>
        <w:t xml:space="preserve">.  The precision (inverse covariance) </w:t>
      </w: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oMath>
      <w:r>
        <w:rPr>
          <w:rFonts w:eastAsiaTheme="minorEastAsia"/>
          <w:szCs w:val="19"/>
        </w:rPr>
        <w:t xml:space="preserve"> is the diagonal plus a rank-r PSD update:</w:t>
      </w:r>
    </w:p>
    <w:p w14:paraId="297863D8" w14:textId="77777777" w:rsidR="00C93BBD" w:rsidRDefault="00C93BBD" w:rsidP="00F05F79">
      <w:pPr>
        <w:rPr>
          <w:rFonts w:eastAsiaTheme="minorEastAsia"/>
          <w:szCs w:val="19"/>
        </w:rPr>
      </w:pPr>
    </w:p>
    <w:p w14:paraId="0A9B1A08" w14:textId="77777777" w:rsidR="00C93BBD" w:rsidRDefault="00000000" w:rsidP="00F05F79">
      <w:pPr>
        <w:rPr>
          <w:rFonts w:eastAsiaTheme="minorEastAsia"/>
          <w:szCs w:val="19"/>
        </w:rPr>
      </w:pP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r>
          <w:rPr>
            <w:rFonts w:ascii="Cambria Math" w:eastAsiaTheme="minorEastAsia" w:hAnsi="Cambria Math"/>
            <w:szCs w:val="19"/>
          </w:rPr>
          <m:t>=</m:t>
        </m:r>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d×d</m:t>
            </m:r>
          </m:sup>
        </m:sSup>
      </m:oMath>
      <w:r>
        <w:rPr>
          <w:rFonts w:eastAsiaTheme="minorEastAsia"/>
          <w:szCs w:val="19"/>
        </w:rPr>
        <w:t xml:space="preserve"> </w:t>
      </w:r>
    </w:p>
    <w:p w14:paraId="7B426019" w14:textId="77777777" w:rsidR="00C93BBD" w:rsidRDefault="00C93BBD" w:rsidP="00F05F79">
      <w:pPr>
        <w:rPr>
          <w:rFonts w:eastAsiaTheme="minorEastAsia"/>
          <w:szCs w:val="19"/>
        </w:rPr>
      </w:pPr>
    </w:p>
    <w:p w14:paraId="3C6D8BF4" w14:textId="77777777" w:rsidR="00C93BBD" w:rsidRDefault="00000000" w:rsidP="00F05F79">
      <w:pPr>
        <w:rPr>
          <w:rFonts w:eastAsiaTheme="minorEastAsia"/>
          <w:szCs w:val="19"/>
        </w:rPr>
      </w:pP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oMath>
      <w:r>
        <w:rPr>
          <w:rFonts w:eastAsiaTheme="minorEastAsia"/>
          <w:szCs w:val="19"/>
        </w:rPr>
        <w:t xml:space="preserve"> has rank of at most </w:t>
      </w:r>
      <m:oMath>
        <m:r>
          <w:rPr>
            <w:rFonts w:ascii="Cambria Math" w:eastAsiaTheme="minorEastAsia" w:hAnsi="Cambria Math"/>
            <w:szCs w:val="19"/>
          </w:rPr>
          <m:t>r</m:t>
        </m:r>
      </m:oMath>
      <w:r>
        <w:rPr>
          <w:rFonts w:eastAsiaTheme="minorEastAsia"/>
          <w:szCs w:val="19"/>
        </w:rPr>
        <w:t xml:space="preserve">, so the well is an ellipsoid that can tilt off the coordinate axes (correlations between hidden dimensions). </w:t>
      </w:r>
      <w:r w:rsidRPr="00B848E9">
        <w:rPr>
          <w:rFonts w:ascii="Consolas" w:eastAsiaTheme="minorEastAsia" w:hAnsi="Consolas" w:cs="Consolas"/>
          <w:sz w:val="17"/>
          <w:szCs w:val="17"/>
        </w:rPr>
        <w:t>rank</w:t>
      </w:r>
      <w:r>
        <w:rPr>
          <w:rFonts w:eastAsiaTheme="minorEastAsia"/>
          <w:szCs w:val="19"/>
        </w:rPr>
        <w:t xml:space="preserve"> = 0 drops </w:t>
      </w:r>
      <w:r w:rsidRPr="00BE4485">
        <w:rPr>
          <w:rFonts w:ascii="Consolas" w:hAnsi="Consolas" w:cs="Consolas"/>
          <w:sz w:val="17"/>
          <w:szCs w:val="17"/>
        </w:rPr>
        <w:t>B_proj</w:t>
      </w:r>
      <w:r>
        <w:rPr>
          <w:rFonts w:eastAsiaTheme="minorEastAsia"/>
          <w:szCs w:val="19"/>
        </w:rPr>
        <w:t xml:space="preserve"> and </w:t>
      </w: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r>
          <w:rPr>
            <w:rFonts w:ascii="Cambria Math" w:eastAsiaTheme="minorEastAsia" w:hAnsi="Cambria Math"/>
            <w:szCs w:val="19"/>
          </w:rPr>
          <m:t>=</m:t>
        </m:r>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oMath>
      <w:r>
        <w:rPr>
          <w:rFonts w:eastAsiaTheme="minorEastAsia"/>
          <w:szCs w:val="19"/>
        </w:rPr>
        <w:t xml:space="preserve"> and we recover the isotropic bank.</w:t>
      </w:r>
    </w:p>
    <w:p w14:paraId="519EE6A2" w14:textId="77777777" w:rsidR="00C93BBD" w:rsidRDefault="00C93BBD" w:rsidP="00F05F79">
      <w:pPr>
        <w:rPr>
          <w:rFonts w:eastAsiaTheme="minorEastAsia"/>
          <w:szCs w:val="19"/>
        </w:rPr>
      </w:pPr>
    </w:p>
    <w:p w14:paraId="5802AA45" w14:textId="77777777" w:rsidR="00C93BBD" w:rsidRPr="002E7DAF" w:rsidRDefault="00000000" w:rsidP="00F05F79">
      <w:pPr>
        <w:rPr>
          <w:rFonts w:eastAsiaTheme="minorEastAsia"/>
          <w:szCs w:val="19"/>
          <w:u w:val="single"/>
        </w:rPr>
      </w:pPr>
      <w:r w:rsidRPr="002E7DAF">
        <w:rPr>
          <w:rFonts w:eastAsiaTheme="minorEastAsia"/>
          <w:szCs w:val="19"/>
          <w:u w:val="single"/>
        </w:rPr>
        <w:t xml:space="preserve">Contrast with MLP </w:t>
      </w:r>
      <m:oMath>
        <m:sSub>
          <m:sSubPr>
            <m:ctrlPr>
              <w:rPr>
                <w:rFonts w:ascii="Cambria Math" w:eastAsiaTheme="minorEastAsia" w:hAnsi="Cambria Math"/>
                <w:szCs w:val="19"/>
                <w:u w:val="single"/>
              </w:rPr>
            </m:ctrlPr>
          </m:sSubPr>
          <m:e>
            <m:r>
              <m:rPr>
                <m:sty m:val="p"/>
              </m:rPr>
              <w:rPr>
                <w:rFonts w:ascii="Cambria Math" w:eastAsiaTheme="minorEastAsia" w:hAnsi="Cambria Math"/>
                <w:szCs w:val="19"/>
                <w:u w:val="single"/>
              </w:rPr>
              <m:t>V</m:t>
            </m:r>
          </m:e>
          <m:sub>
            <m:r>
              <m:rPr>
                <m:sty m:val="p"/>
              </m:rPr>
              <w:rPr>
                <w:rFonts w:ascii="Cambria Math" w:eastAsiaTheme="minorEastAsia" w:hAnsi="Cambria Math"/>
                <w:szCs w:val="19"/>
                <w:u w:val="single"/>
              </w:rPr>
              <m:t>θ</m:t>
            </m:r>
          </m:sub>
        </m:sSub>
      </m:oMath>
    </w:p>
    <w:p w14:paraId="794AF59A" w14:textId="77777777" w:rsidR="00C93BBD" w:rsidRDefault="00000000" w:rsidP="00F05F79">
      <w:pPr>
        <w:rPr>
          <w:rFonts w:eastAsiaTheme="minorEastAsia"/>
          <w:szCs w:val="19"/>
        </w:rPr>
      </w:pPr>
      <w:r>
        <w:rPr>
          <w:rFonts w:eastAsiaTheme="minorEastAsia"/>
          <w:szCs w:val="19"/>
        </w:rPr>
        <w:t xml:space="preserve">The MLP first layer sees </w:t>
      </w:r>
      <w:r w:rsidRPr="002E7DAF">
        <w:rPr>
          <w:rFonts w:ascii="Consolas" w:eastAsiaTheme="minorEastAsia" w:hAnsi="Consolas" w:cs="Consolas"/>
          <w:sz w:val="17"/>
          <w:szCs w:val="17"/>
        </w:rPr>
        <w:t>cat</w:t>
      </w:r>
      <m:oMath>
        <m:d>
          <m:dPr>
            <m:ctrlPr>
              <w:rPr>
                <w:rFonts w:ascii="Cambria Math" w:eastAsiaTheme="minorEastAsia" w:hAnsi="Cambria Math"/>
                <w:i/>
                <w:szCs w:val="19"/>
              </w:rPr>
            </m:ctrlPr>
          </m:dPr>
          <m:e>
            <m:r>
              <w:rPr>
                <w:rFonts w:ascii="Cambria Math" w:eastAsiaTheme="minorEastAsia" w:hAnsi="Cambria Math"/>
                <w:szCs w:val="19"/>
              </w:rPr>
              <m:t>ξ,h</m:t>
            </m:r>
          </m:e>
        </m:d>
      </m:oMath>
      <w:r>
        <w:rPr>
          <w:rFonts w:eastAsiaTheme="minorEastAsia"/>
          <w:szCs w:val="19"/>
        </w:rPr>
        <w:t xml:space="preserve">. Gaussian projections see </w:t>
      </w:r>
      <m:oMath>
        <m:r>
          <w:rPr>
            <w:rFonts w:ascii="Cambria Math" w:eastAsiaTheme="minorEastAsia" w:hAnsi="Cambria Math"/>
            <w:szCs w:val="19"/>
          </w:rPr>
          <m:t>ξ</m:t>
        </m:r>
      </m:oMath>
      <w:r>
        <w:rPr>
          <w:rFonts w:eastAsiaTheme="minorEastAsia"/>
          <w:szCs w:val="19"/>
        </w:rPr>
        <w:t xml:space="preserve"> only. </w:t>
      </w:r>
      <m:oMath>
        <m:r>
          <w:rPr>
            <w:rFonts w:ascii="Cambria Math" w:eastAsiaTheme="minorEastAsia" w:hAnsi="Cambria Math"/>
            <w:szCs w:val="19"/>
          </w:rPr>
          <m:t>h</m:t>
        </m:r>
      </m:oMath>
      <w:r>
        <w:rPr>
          <w:rFonts w:eastAsiaTheme="minorEastAsia"/>
          <w:szCs w:val="19"/>
        </w:rPr>
        <w:t xml:space="preserve"> appears only in </w:t>
      </w:r>
      <m:oMath>
        <m:sSup>
          <m:sSupPr>
            <m:ctrlPr>
              <w:rPr>
                <w:rFonts w:ascii="Cambria Math" w:eastAsiaTheme="minorEastAsia" w:hAnsi="Cambria Math"/>
                <w:i/>
                <w:szCs w:val="19"/>
              </w:rPr>
            </m:ctrlPr>
          </m:sSupPr>
          <m:e>
            <m:d>
              <m:dPr>
                <m:ctrlPr>
                  <w:rPr>
                    <w:rFonts w:ascii="Cambria Math" w:eastAsiaTheme="minorEastAsia" w:hAnsi="Cambria Math"/>
                    <w:i/>
                    <w:szCs w:val="19"/>
                  </w:rPr>
                </m:ctrlPr>
              </m:dPr>
              <m:e>
                <m:r>
                  <w:rPr>
                    <w:rFonts w:ascii="Cambria Math" w:eastAsiaTheme="minorEastAsia" w:hAnsi="Cambria Math"/>
                    <w:szCs w:val="19"/>
                  </w:rPr>
                  <m:t>h-μ</m:t>
                </m:r>
              </m:e>
            </m:d>
          </m:e>
          <m:sup>
            <m:r>
              <w:rPr>
                <w:rFonts w:ascii="Cambria Math" w:eastAsiaTheme="minorEastAsia" w:hAnsi="Cambria Math"/>
                <w:szCs w:val="19"/>
              </w:rPr>
              <m:t>T</m:t>
            </m:r>
          </m:sup>
        </m:sSup>
        <m:r>
          <w:rPr>
            <w:rFonts w:ascii="Cambria Math" w:eastAsiaTheme="minorEastAsia" w:hAnsi="Cambria Math"/>
            <w:szCs w:val="19"/>
          </w:rPr>
          <m:t>P</m:t>
        </m:r>
        <m:d>
          <m:dPr>
            <m:ctrlPr>
              <w:rPr>
                <w:rFonts w:ascii="Cambria Math" w:eastAsiaTheme="minorEastAsia" w:hAnsi="Cambria Math"/>
                <w:i/>
                <w:szCs w:val="19"/>
              </w:rPr>
            </m:ctrlPr>
          </m:dPr>
          <m:e>
            <m:r>
              <w:rPr>
                <w:rFonts w:ascii="Cambria Math" w:eastAsiaTheme="minorEastAsia" w:hAnsi="Cambria Math"/>
                <w:szCs w:val="19"/>
              </w:rPr>
              <m:t>h-μ</m:t>
            </m:r>
          </m:e>
        </m:d>
      </m:oMath>
      <w:r>
        <w:rPr>
          <w:rFonts w:eastAsiaTheme="minorEastAsia"/>
          <w:szCs w:val="19"/>
        </w:rPr>
        <w:t xml:space="preserve">. That is why centres can be read off as </w:t>
      </w:r>
      <m:oMath>
        <m:r>
          <w:rPr>
            <w:rFonts w:ascii="Cambria Math" w:eastAsiaTheme="minorEastAsia" w:hAnsi="Cambria Math"/>
            <w:szCs w:val="19"/>
          </w:rPr>
          <m:t>μ</m:t>
        </m:r>
        <m:d>
          <m:dPr>
            <m:ctrlPr>
              <w:rPr>
                <w:rFonts w:ascii="Cambria Math" w:eastAsiaTheme="minorEastAsia" w:hAnsi="Cambria Math"/>
                <w:i/>
                <w:szCs w:val="19"/>
              </w:rPr>
            </m:ctrlPr>
          </m:dPr>
          <m:e>
            <m:r>
              <w:rPr>
                <w:rFonts w:ascii="Cambria Math" w:eastAsiaTheme="minorEastAsia" w:hAnsi="Cambria Math"/>
                <w:szCs w:val="19"/>
              </w:rPr>
              <m:t>ξ</m:t>
            </m:r>
          </m:e>
        </m:d>
      </m:oMath>
      <w:r>
        <w:rPr>
          <w:rFonts w:eastAsiaTheme="minorEastAsia"/>
          <w:szCs w:val="19"/>
        </w:rPr>
        <w:t>.</w:t>
      </w:r>
    </w:p>
    <w:p w14:paraId="4BBCFB4C" w14:textId="77777777" w:rsidR="00C93BBD" w:rsidRDefault="00C93BBD" w:rsidP="00F05F79">
      <w:pPr>
        <w:rPr>
          <w:rFonts w:eastAsiaTheme="minorEastAsia"/>
          <w:szCs w:val="19"/>
        </w:rPr>
      </w:pPr>
    </w:p>
    <w:p w14:paraId="2C01713F" w14:textId="77777777" w:rsidR="00C93BBD" w:rsidRPr="00FD0079" w:rsidRDefault="00000000" w:rsidP="00F05F79">
      <w:pPr>
        <w:rPr>
          <w:rFonts w:eastAsiaTheme="minorEastAsia"/>
          <w:szCs w:val="19"/>
          <w:u w:val="single"/>
        </w:rPr>
      </w:pPr>
      <w:r w:rsidRPr="00FD0079">
        <w:rPr>
          <w:rFonts w:eastAsiaTheme="minorEastAsia"/>
          <w:szCs w:val="19"/>
          <w:u w:val="single"/>
        </w:rPr>
        <w:t>Where Does Flattening Happens?</w:t>
      </w:r>
    </w:p>
    <w:p w14:paraId="4E62412C" w14:textId="77777777" w:rsidR="00C93BBD" w:rsidRDefault="00C93BBD" w:rsidP="00F05F79">
      <w:pPr>
        <w:rPr>
          <w:rFonts w:eastAsiaTheme="minorEastAsia"/>
          <w:szCs w:val="19"/>
        </w:rPr>
      </w:pPr>
    </w:p>
    <w:p w14:paraId="2A6B132C" w14:textId="77777777" w:rsidR="00C93BBD" w:rsidRPr="00157A61" w:rsidRDefault="00000000" w:rsidP="00F05F79">
      <w:pPr>
        <w:rPr>
          <w:rFonts w:eastAsiaTheme="minorEastAsia"/>
          <w:szCs w:val="19"/>
        </w:rPr>
      </w:pPr>
      <w:r>
        <w:t xml:space="preserve">The inner bank always assumes one context vector of length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r>
                      <m:rPr>
                        <m:nor/>
                      </m:rPr>
                      <w:rPr>
                        <w:rFonts w:ascii="Cambria Math" w:hAnsi="Cambria Math"/>
                      </w:rPr>
                      <m:t>in</m:t>
                    </m:r>
                  </m:e>
                </m:box>
              </m:sub>
            </m:sSub>
          </m:e>
        </m:box>
      </m:oMath>
      <w:r>
        <w:t>. The multi-</w:t>
      </w:r>
      <m:oMath>
        <m:box>
          <m:boxPr>
            <m:ctrlPr>
              <w:rPr>
                <w:rFonts w:ascii="Cambria Math" w:hAnsi="Cambria Math"/>
              </w:rPr>
            </m:ctrlPr>
          </m:boxPr>
          <m:e>
            <m:r>
              <w:rPr>
                <w:rFonts w:ascii="Cambria Math" w:hAnsi="Cambria Math"/>
              </w:rPr>
              <m:t>ξ</m:t>
            </m:r>
          </m:e>
        </m:box>
      </m:oMath>
      <w:r>
        <w:t xml:space="preserve"> context state is a tensor of shape </w:t>
      </w:r>
      <m:oMath>
        <m:box>
          <m:boxPr>
            <m:ctrlPr>
              <w:rPr>
                <w:rFonts w:ascii="Cambria Math" w:hAnsi="Cambria Math"/>
              </w:rPr>
            </m:ctrlPr>
          </m:boxPr>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m:t>
            </m:r>
            <m:r>
              <w:rPr>
                <w:rFonts w:ascii="Cambria Math" w:hAnsi="Cambria Math"/>
              </w:rPr>
              <m:t>d</m:t>
            </m:r>
            <m:r>
              <m:rPr>
                <m:sty m:val="p"/>
              </m:rPr>
              <w:rPr>
                <w:rFonts w:ascii="Cambria Math" w:hAnsi="Cambria Math"/>
              </w:rPr>
              <m:t>)</m:t>
            </m:r>
          </m:e>
        </m:box>
      </m:oMath>
      <w:r>
        <w:t>,</w:t>
      </w:r>
    </w:p>
    <w:p w14:paraId="68CB3ED2" w14:textId="77777777" w:rsidR="00C93BBD" w:rsidRDefault="00000000">
      <m:oMathPara>
        <m:oMath>
          <m:box>
            <m:boxPr>
              <m:ctrlPr>
                <w:rPr>
                  <w:rFonts w:ascii="Cambria Math" w:hAnsi="Cambria Math"/>
                </w:rPr>
              </m:ctrlPr>
            </m:boxPr>
            <m:e>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m:t>
                      </m:r>
                      <m:r>
                        <w:rPr>
                          <w:rFonts w:ascii="Cambria Math" w:hAnsi="Cambria Math"/>
                        </w:rPr>
                        <m:t>d</m:t>
                      </m:r>
                    </m:e>
                  </m:box>
                </m:sup>
              </m:sSup>
              <m:r>
                <m:rPr>
                  <m:sty m:val="p"/>
                </m:rPr>
                <w:rPr>
                  <w:rFonts w:ascii="Cambria Math" w:hAnsi="Cambria Math"/>
                </w:rPr>
                <m:t>.</m:t>
              </m:r>
            </m:e>
          </m:box>
        </m:oMath>
      </m:oMathPara>
    </w:p>
    <w:p w14:paraId="5835F533" w14:textId="77777777" w:rsidR="00C93BBD" w:rsidRDefault="00000000">
      <w:r>
        <w:t xml:space="preserve">The concat adapters </w:t>
      </w:r>
      <w:r>
        <w:rPr>
          <w:rFonts w:ascii="Consolas" w:hAnsi="Consolas"/>
        </w:rPr>
        <w:t>StructuredVThetaMultiXiAdapter</w:t>
      </w:r>
      <w:r>
        <w:t xml:space="preserve"> and </w:t>
      </w:r>
      <w:r>
        <w:rPr>
          <w:rFonts w:ascii="Consolas" w:hAnsi="Consolas"/>
        </w:rPr>
        <w:t>GaussianVThetaMultiXiAdapter</w:t>
      </w:r>
      <w:r>
        <w:t xml:space="preserve"> do not invent a new geometry for this tensor. They reshape the last two axes,</w:t>
      </w:r>
    </w:p>
    <w:p w14:paraId="290C897C" w14:textId="77777777" w:rsidR="00C93BBD"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r>
                <m:rPr>
                  <m:nor/>
                </m:rPr>
                <w:rPr>
                  <w:rFonts w:ascii="Cambria Math" w:hAnsi="Cambria Math"/>
                </w:rPr>
                <m:t>reshape</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sup>
              </m:sSup>
              <m:r>
                <m:rPr>
                  <m:sty m:val="p"/>
                </m:rPr>
                <w:rPr>
                  <w:rFonts w:ascii="Cambria Math" w:hAnsi="Cambria Math"/>
                </w:rPr>
                <m:t>,</m:t>
              </m:r>
            </m:e>
          </m:box>
        </m:oMath>
      </m:oMathPara>
    </w:p>
    <w:p w14:paraId="6103195C" w14:textId="77777777" w:rsidR="00C93BBD" w:rsidRDefault="00000000">
      <w:r>
        <w:t xml:space="preserve">and call the inner bank as </w:t>
      </w:r>
      <m:oMath>
        <m:box>
          <m:boxPr>
            <m:ctrlPr>
              <w:rPr>
                <w:rFonts w:ascii="Cambria Math" w:hAnsi="Cambria Math"/>
              </w:rPr>
            </m:ctrlPr>
          </m:box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m:rPr>
                        <m:nor/>
                      </m:rPr>
                      <w:rPr>
                        <w:rFonts w:ascii="Cambria Math" w:hAnsi="Cambria Math"/>
                      </w:rPr>
                      <m:t>inner</m:t>
                    </m:r>
                  </m:e>
                </m:box>
              </m:sub>
            </m:sSub>
            <m:r>
              <m:rPr>
                <m:sty m:val="p"/>
              </m:rPr>
              <w:rPr>
                <w:rFonts w:ascii="Cambria Math" w:hAnsi="Cambria Math"/>
              </w:rPr>
              <m:t>(</m:t>
            </m:r>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The hidden state </w:t>
      </w:r>
      <m:oMath>
        <m:box>
          <m:boxPr>
            <m:ctrlPr>
              <w:rPr>
                <w:rFonts w:ascii="Cambria Math" w:hAnsi="Cambria Math"/>
              </w:rPr>
            </m:ctrlPr>
          </m:boxPr>
          <m:e>
            <m:r>
              <w:rPr>
                <w:rFonts w:ascii="Cambria Math" w:hAnsi="Cambria Math"/>
              </w:rPr>
              <m:t>h</m:t>
            </m:r>
          </m:e>
        </m:box>
      </m:oMath>
      <w:r>
        <w:t xml:space="preserve"> remains a separate argument. It is </w:t>
      </w:r>
      <w:r>
        <w:rPr>
          <w:b/>
        </w:rPr>
        <w:t>not</w:t>
      </w:r>
      <w:r>
        <w:t xml:space="preserve"> concatenated into the well-parameter maps. Those maps see only the flattened context, with input width </w:t>
      </w:r>
      <w:r>
        <w:rPr>
          <w:rFonts w:ascii="Consolas" w:hAnsi="Consolas"/>
        </w:rPr>
        <w:t>xi_d</w:t>
      </w:r>
      <w:r>
        <w:t xml:space="preserve">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w:t>
      </w:r>
    </w:p>
    <w:p w14:paraId="4EF0CAEB" w14:textId="77777777" w:rsidR="00C93BBD" w:rsidRDefault="00000000">
      <w:r>
        <w:rPr>
          <w:rFonts w:ascii="Consolas" w:hAnsi="Consolas"/>
        </w:rPr>
        <w:t>mu_proj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w:t>
      </w:r>
      <w:r>
        <w:rPr>
          <w:rFonts w:ascii="Consolas" w:hAnsi="Consolas"/>
        </w:rPr>
        <w:t>a_proj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and </w:t>
      </w:r>
      <w:r>
        <w:rPr>
          <w:rFonts w:ascii="Consolas" w:hAnsi="Consolas"/>
        </w:rPr>
        <w:t>w_proj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w:t>
      </w:r>
    </w:p>
    <w:p w14:paraId="06A573D0" w14:textId="77777777" w:rsidR="00C93BBD" w:rsidRDefault="00000000">
      <w:r>
        <w:t xml:space="preserve">Every well parameter is therefore a dense linear mixture of </w:t>
      </w:r>
      <w:r>
        <w:rPr>
          <w:b/>
        </w:rPr>
        <w:t>all</w:t>
      </w:r>
      <w:r>
        <w:t xml:space="preserve"> horizons. The model cannot dedicate an attractor to a single timescale: there is no well that “belongs” to the hundred-token exponential moving average, because every centre, precision, and mixture weight is allowed to depend on every channel. With the usual recipe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=4</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this produces eight attractors on a blurred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-dimensional summary, not thirty-two or forty horizon-specific centres.</w:t>
      </w:r>
    </w:p>
    <w:p w14:paraId="1458AF42" w14:textId="77777777" w:rsidR="00C93BBD" w:rsidRDefault="00000000">
      <w:r>
        <w:t xml:space="preserve">A tiny example makes the wiring concrete. Take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=2</m:t>
            </m:r>
          </m:e>
        </m:box>
      </m:oMath>
      <w:r>
        <w:t xml:space="preserve"> channels,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=2</m:t>
            </m:r>
          </m:e>
        </m:box>
      </m:oMath>
      <w:r>
        <w:t xml:space="preserve"> wells, and </w:t>
      </w:r>
      <m:oMath>
        <m:box>
          <m:boxPr>
            <m:ctrlPr>
              <w:rPr>
                <w:rFonts w:ascii="Cambria Math" w:hAnsi="Cambria Math"/>
              </w:rPr>
            </m:ctrlPr>
          </m:boxPr>
          <m:e>
            <m:r>
              <w:rPr>
                <w:rFonts w:ascii="Cambria Math" w:hAnsi="Cambria Math"/>
              </w:rPr>
              <m:t>d</m:t>
            </m:r>
            <m:r>
              <m:rPr>
                <m:sty m:val="p"/>
              </m:rPr>
              <w:rPr>
                <w:rFonts w:ascii="Cambria Math" w:hAnsi="Cambria Math"/>
              </w:rPr>
              <m:t>=3</m:t>
            </m:r>
          </m:e>
        </m:box>
      </m:oMath>
      <w:r>
        <w:t xml:space="preserve">. The concat adapter stacks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e>
        </m:box>
      </m:oMath>
      <w:r>
        <w:t xml:space="preserve"> into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Then </w:t>
      </w:r>
      <w:r>
        <w:rPr>
          <w:rFonts w:ascii="Consolas" w:hAnsi="Consolas"/>
        </w:rPr>
        <w:t>mu_proj</w:t>
      </w:r>
      <w:r>
        <w:t xml:space="preserve"> is an affine map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whose six outputs are reshaped into two centres in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e>
        </m:box>
      </m:oMath>
      <w:r>
        <w:t xml:space="preserve">. Each coordinate of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m:rPr>
                    <m:sty m:val="p"/>
                  </m:rPr>
                  <w:rPr>
                    <w:rFonts w:ascii="Cambria Math" w:hAnsi="Cambria Math"/>
                  </w:rPr>
                  <m:t>1</m:t>
                </m:r>
              </m:sub>
            </m:sSub>
          </m:e>
        </m:box>
      </m:oMath>
      <w:r>
        <w:t xml:space="preserve"> can depend on both the short-horizon and the long-horizon context. The additive alternative, developed earlier in this section and implemented by </w:t>
      </w:r>
      <w:r>
        <w:rPr>
          <w:rFonts w:ascii="Consolas" w:hAnsi="Consolas"/>
        </w:rPr>
        <w:t>MultiContextGaussianVTheta</w:t>
      </w:r>
      <w:r>
        <w:t xml:space="preserve">, would instead give each channel its own bank: bank 1 is an affine map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that sees only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(1)</m:t>
                    </m:r>
                  </m:e>
                </m:box>
              </m:sup>
            </m:sSup>
          </m:e>
        </m:box>
      </m:oMath>
      <w:r>
        <w:t xml:space="preserve">, bank 2 is a twin map that sees only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(2)</m:t>
                    </m:r>
                  </m:e>
                </m:box>
              </m:sup>
            </m:sSup>
          </m:e>
        </m:box>
      </m:oMath>
      <w:r>
        <w:t>, and the two banks together produce four centres, two per horizon.</w:t>
      </w:r>
    </w:p>
    <w:p w14:paraId="29482F66" w14:textId="526D4233" w:rsidR="00C93BBD" w:rsidRDefault="00000000">
      <w:r>
        <w:t xml:space="preserve">Three things are </w:t>
      </w:r>
      <w:r>
        <w:rPr>
          <w:b/>
        </w:rPr>
        <w:t>not</w:t>
      </w:r>
      <w:r>
        <w:t xml:space="preserve"> </w:t>
      </w:r>
      <w:r w:rsidR="00D20131">
        <w:t>flattened and</w:t>
      </w:r>
      <w:r>
        <w:t xml:space="preserve"> confusing them with the adapter is a common source of misreading.</w:t>
      </w:r>
    </w:p>
    <w:p w14:paraId="514F2D47" w14:textId="77777777" w:rsidR="00C93BBD" w:rsidRDefault="00000000">
      <w:r>
        <w:t xml:space="preserve">• The particle coordinate </w:t>
      </w:r>
      <m:oMath>
        <m:box>
          <m:boxPr>
            <m:ctrlPr>
              <w:rPr>
                <w:rFonts w:ascii="Cambria Math" w:hAnsi="Cambria Math"/>
              </w:rPr>
            </m:ctrlPr>
          </m:boxPr>
          <m:e>
            <m:r>
              <w:rPr>
                <w:rFonts w:ascii="Cambria Math" w:hAnsi="Cambria Math"/>
              </w:rPr>
              <m:t>h</m:t>
            </m:r>
          </m:e>
        </m:box>
      </m:oMath>
      <w:r>
        <w:t xml:space="preserve"> never enters </w:t>
      </w:r>
      <w:r>
        <w:rPr>
          <w:rFonts w:ascii="Consolas" w:hAnsi="Consolas"/>
        </w:rPr>
        <w:t>mu_proj</w:t>
      </w:r>
      <w:r>
        <w:t xml:space="preserve">, </w:t>
      </w:r>
      <w:r>
        <w:rPr>
          <w:rFonts w:ascii="Consolas" w:hAnsi="Consolas"/>
        </w:rPr>
        <w:t>a_proj</w:t>
      </w:r>
      <w:r>
        <w:t xml:space="preserve">, or </w:t>
      </w:r>
      <w:r>
        <w:rPr>
          <w:rFonts w:ascii="Consolas" w:hAnsi="Consolas"/>
        </w:rPr>
        <w:t>w_proj</w:t>
      </w:r>
      <w:r>
        <w:t xml:space="preserve">. Those three maps are functions of context only. The hidden state appears later, in the quadratic form or Gaussian bump that is evaluated at </w:t>
      </w:r>
      <m:oMath>
        <m:box>
          <m:boxPr>
            <m:ctrlPr>
              <w:rPr>
                <w:rFonts w:ascii="Cambria Math" w:hAnsi="Cambria Math"/>
              </w:rPr>
            </m:ctrlPr>
          </m:boxPr>
          <m:e>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That is why centres can be read off by calling </w:t>
      </w:r>
      <w:r>
        <w:rPr>
          <w:rFonts w:ascii="Consolas" w:hAnsi="Consolas"/>
        </w:rPr>
        <w:t>attractor_centres</w:t>
      </w:r>
      <w:r>
        <w:t xml:space="preserve"> without differentiating through </w:t>
      </w:r>
      <m:oMath>
        <m:box>
          <m:boxPr>
            <m:ctrlPr>
              <w:rPr>
                <w:rFonts w:ascii="Cambria Math" w:hAnsi="Cambria Math"/>
              </w:rPr>
            </m:ctrlPr>
          </m:boxPr>
          <m:e>
            <m:r>
              <w:rPr>
                <w:rFonts w:ascii="Cambria Math" w:hAnsi="Cambria Math"/>
              </w:rPr>
              <m:t>h</m:t>
            </m:r>
          </m:e>
        </m:box>
      </m:oMath>
      <w:r>
        <w:t>.</w:t>
      </w:r>
    </w:p>
    <w:p w14:paraId="6588D2BC" w14:textId="77777777" w:rsidR="00C93BBD" w:rsidRDefault="00000000">
      <w:r>
        <w:t xml:space="preserve">• The well index </w:t>
      </w:r>
      <m:oMath>
        <m:box>
          <m:boxPr>
            <m:ctrlPr>
              <w:rPr>
                <w:rFonts w:ascii="Cambria Math" w:hAnsi="Cambria Math"/>
              </w:rPr>
            </m:ctrlPr>
          </m:boxPr>
          <m:e>
            <m:r>
              <w:rPr>
                <w:rFonts w:ascii="Cambria Math" w:hAnsi="Cambria Math"/>
              </w:rPr>
              <m:t>k</m:t>
            </m:r>
          </m:e>
        </m:box>
      </m:oMath>
      <w:r>
        <w:t xml:space="preserve"> is not a separate network. A single wide linear map writes a vector of length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(or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for the weights), and a reshape peels that vector into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blocks. Multi-context wiring duplicates the whole bank per channel; it does not allocate one MLP per well.</w:t>
      </w:r>
    </w:p>
    <w:p w14:paraId="4D095D3F" w14:textId="77777777" w:rsidR="00C93BBD" w:rsidRDefault="00000000">
      <w:r>
        <w:t xml:space="preserve">• The weight head </w:t>
      </w:r>
      <w:r>
        <w:rPr>
          <w:rFonts w:ascii="Consolas" w:hAnsi="Consolas"/>
        </w:rPr>
        <w:t>w_proj</w:t>
      </w:r>
      <w:r>
        <w:t xml:space="preserve"> emits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logits, not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numbers. Mixture weights are per well, not per hidden coordinate.</w:t>
      </w:r>
    </w:p>
    <w:p w14:paraId="7B4B29C0" w14:textId="77777777" w:rsidR="00C93BBD" w:rsidRDefault="00000000">
      <w:r>
        <w:t xml:space="preserve">Flattening, in this architecture, is only an adapter that sets the input width of those three heads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instead of </w:t>
      </w:r>
      <m:oMath>
        <m:box>
          <m:boxPr>
            <m:ctrlPr>
              <w:rPr>
                <w:rFonts w:ascii="Cambria Math" w:hAnsi="Cambria Math"/>
              </w:rPr>
            </m:ctrlPr>
          </m:boxPr>
          <m:e>
            <m:r>
              <w:rPr>
                <w:rFonts w:ascii="Cambria Math" w:hAnsi="Cambria Math"/>
              </w:rPr>
              <m:t>d</m:t>
            </m:r>
          </m:e>
        </m:box>
      </m:oMath>
      <w:r>
        <w:t>. The later OpenWebText Gaussian runs that quote “five heads times eight wells” use the other wiring: no flattening, five separate triples of (</w:t>
      </w:r>
      <w:r>
        <w:rPr>
          <w:rFonts w:ascii="Consolas" w:hAnsi="Consolas"/>
        </w:rPr>
        <w:t>mu_proj</w:t>
      </w:r>
      <w:r>
        <w:t xml:space="preserve">, </w:t>
      </w:r>
      <w:r>
        <w:rPr>
          <w:rFonts w:ascii="Consolas" w:hAnsi="Consolas"/>
        </w:rPr>
        <w:t>a_proj</w:t>
      </w:r>
      <w:r>
        <w:t xml:space="preserve">, </w:t>
      </w:r>
      <w:r>
        <w:rPr>
          <w:rFonts w:ascii="Consolas" w:hAnsi="Consolas"/>
        </w:rPr>
        <w:t>w_proj</w:t>
      </w:r>
      <w:r>
        <w:t xml:space="preserve">), and a sum of five bank potentials. That design is parameter-neutral with the concat baseline </w:t>
      </w:r>
      <w:r>
        <w:rPr>
          <w:b/>
        </w:rPr>
        <w:t>when both keep the same</w:t>
      </w:r>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w:t>
      </w:r>
      <w:r>
        <w:rPr>
          <w:b/>
        </w:rPr>
        <w:t>per bank</w:t>
      </w:r>
      <w:r>
        <w:t xml:space="preserve">: five maps </w:t>
      </w:r>
      <m:oMath>
        <m:box>
          <m:boxPr>
            <m:ctrlPr>
              <w:rPr>
                <w:rFonts w:ascii="Cambria Math" w:hAnsi="Cambria Math"/>
              </w:rPr>
            </m:ctrlPr>
          </m:boxPr>
          <m:e>
            <m:r>
              <w:rPr>
                <w:rFonts w:ascii="Cambria Math" w:hAnsi="Cambria Math"/>
              </w:rPr>
              <m:t>d</m:t>
            </m:r>
            <m:r>
              <m:rPr>
                <m:sty m:val="p"/>
              </m:rPr>
              <w:rPr>
                <w:rFonts w:ascii="Cambria Math" w:hAnsi="Cambria Math"/>
              </w:rPr>
              <m:t>→8</m:t>
            </m:r>
            <m:r>
              <w:rPr>
                <w:rFonts w:ascii="Cambria Math" w:hAnsi="Cambria Math"/>
              </w:rPr>
              <m:t>d</m:t>
            </m:r>
          </m:e>
        </m:box>
      </m:oMath>
      <w:r>
        <w:t xml:space="preserve"> have the same number of weights as one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→8</m:t>
            </m:r>
            <m:r>
              <w:rPr>
                <w:rFonts w:ascii="Cambria Math" w:hAnsi="Cambria Math"/>
              </w:rPr>
              <m:t>d</m:t>
            </m:r>
          </m:e>
        </m:box>
      </m:oMath>
      <w:r>
        <w:t xml:space="preserve">, but they produce forty centres instead of eight, and they are block-diagonal across </w:t>
      </w:r>
      <w:r>
        <w:lastRenderedPageBreak/>
        <w:t xml:space="preserve">horizons rather than dense in the concatenated context. A dense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→40</m:t>
            </m:r>
            <m:r>
              <w:rPr>
                <w:rFonts w:ascii="Cambria Math" w:hAnsi="Cambria Math"/>
              </w:rPr>
              <m:t>d</m:t>
            </m:r>
          </m:e>
        </m:box>
      </m:oMath>
      <w:r>
        <w:t xml:space="preserve"> that tried to match the forty centres in a </w:t>
      </w:r>
      <w:r>
        <w:rPr>
          <w:b/>
        </w:rPr>
        <w:t>single</w:t>
      </w:r>
      <w:r>
        <w:t xml:space="preserve"> concat bank would be five times heavier; that is not the concat baseline actually used.</w:t>
      </w:r>
    </w:p>
    <w:p w14:paraId="0D8DB239" w14:textId="77777777" w:rsidR="00C93BBD" w:rsidRDefault="00C93BBD" w:rsidP="00F05F79"/>
    <w:p w14:paraId="0FFAF7C5" w14:textId="77777777" w:rsidR="00C93BBD" w:rsidRDefault="00000000" w:rsidP="00496AD5">
      <w:pPr>
        <w:pStyle w:val="Heading3"/>
      </w:pPr>
      <w:bookmarkStart w:id="40" w:name="_Toc239712610"/>
      <w:bookmarkStart w:id="41" w:name="_Toc240119394"/>
      <w:r>
        <w:t>Does the anisotropic Gaussian benefit beyond 4 Channels?</w:t>
      </w:r>
      <w:bookmarkEnd w:id="40"/>
      <w:bookmarkEnd w:id="41"/>
    </w:p>
    <w:p w14:paraId="2A0009D9" w14:textId="77777777" w:rsidR="00C93BBD" w:rsidRDefault="00000000">
      <w:r>
        <w:t xml:space="preserve">There is some benefit to giving an anisotropic Gaussian more than four K-EMA channels, but the returns diminish sharply and can become negative. They diminish faster than they do for the MLP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The reason is not that four is a magic number for language. It is that the additive multi-context Gaussian and the MLP spend extra channels in different ways.</w:t>
      </w:r>
    </w:p>
    <w:p w14:paraId="5E869608" w14:textId="77777777" w:rsidR="00C93BBD" w:rsidRDefault="00000000">
      <w:r>
        <w:t>In the additive design the force is a sum of per-bank forces,</w:t>
      </w:r>
    </w:p>
    <w:p w14:paraId="6C36A6B1" w14:textId="77777777" w:rsidR="00C93BBD" w:rsidRDefault="00000000">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m</m:t>
                      </m:r>
                      <m:r>
                        <m:rPr>
                          <m:sty m:val="p"/>
                        </m:rPr>
                        <w:rPr>
                          <w:rFonts w:ascii="Cambria Math" w:hAnsi="Cambria Math"/>
                        </w:rPr>
                        <m:t>=1</m:t>
                      </m:r>
                    </m:e>
                  </m:box>
                </m:sub>
                <m:sup>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sup>
                <m:e>
                  <m:sSup>
                    <m:sSupPr>
                      <m:ctrlPr>
                        <w:rPr>
                          <w:rFonts w:ascii="Cambria Math" w:hAnsi="Cambria Math"/>
                        </w:rPr>
                      </m:ctrlPr>
                    </m:sSupPr>
                    <m:e>
                      <m:r>
                        <w:rPr>
                          <w:rFonts w:ascii="Cambria Math" w:hAnsi="Cambria Math"/>
                        </w:rPr>
                        <m:t>f</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07A5C2D3" w14:textId="77777777" w:rsidR="00C93BBD" w:rsidRDefault="00000000">
      <w:r>
        <w:t xml:space="preserve">Each bank is expressive </w:t>
      </w:r>
      <w:r>
        <w:rPr>
          <w:b/>
        </w:rPr>
        <w:t>within</w:t>
      </w:r>
      <w:r>
        <w:t xml:space="preserve"> its own horizon: centres </w:t>
      </w:r>
      <m:oMath>
        <m:box>
          <m:boxPr>
            <m:ctrlPr>
              <w:rPr>
                <w:rFonts w:ascii="Cambria Math" w:hAnsi="Cambria Math"/>
              </w:rPr>
            </m:ctrlPr>
          </m:boxPr>
          <m:e>
            <m:sSubSup>
              <m:sSubSupPr>
                <m:ctrlPr>
                  <w:rPr>
                    <w:rFonts w:ascii="Cambria Math" w:hAnsi="Cambria Math"/>
                  </w:rPr>
                </m:ctrlPr>
              </m:sSubSupPr>
              <m:e>
                <m:r>
                  <w:rPr>
                    <w:rFonts w:ascii="Cambria Math" w:hAnsi="Cambria Math"/>
                  </w:rPr>
                  <m:t>μ</m:t>
                </m:r>
              </m:e>
              <m:sub>
                <m:r>
                  <w:rPr>
                    <w:rFonts w:ascii="Cambria Math" w:hAnsi="Cambria Math"/>
                  </w:rPr>
                  <m:t>k</m:t>
                </m:r>
              </m:sub>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e>
        </m:box>
      </m:oMath>
      <w:r>
        <w:t xml:space="preserve"> and precisions </w:t>
      </w:r>
      <m:oMath>
        <m:box>
          <m:boxPr>
            <m:ctrlPr>
              <w:rPr>
                <w:rFonts w:ascii="Cambria Math" w:hAnsi="Cambria Math"/>
              </w:rPr>
            </m:ctrlPr>
          </m:boxPr>
          <m:e>
            <m:sSubSup>
              <m:sSubSupPr>
                <m:ctrlPr>
                  <w:rPr>
                    <w:rFonts w:ascii="Cambria Math" w:hAnsi="Cambria Math"/>
                  </w:rPr>
                </m:ctrlPr>
              </m:sSubSupPr>
              <m:e>
                <m:r>
                  <w:rPr>
                    <w:rFonts w:ascii="Cambria Math" w:hAnsi="Cambria Math"/>
                  </w:rPr>
                  <m:t>P</m:t>
                </m:r>
              </m:e>
              <m:sub>
                <m:r>
                  <w:rPr>
                    <w:rFonts w:ascii="Cambria Math" w:hAnsi="Cambria Math"/>
                  </w:rPr>
                  <m:t>k</m:t>
                </m:r>
              </m:sub>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e>
        </m:box>
      </m:oMath>
      <w:r>
        <w:t xml:space="preserve"> are nonlinear functions of that channel. What the sum cannot represent is a conjunction across horizons. There is no attractor that fires only when the two-token channel says one thing </w:t>
      </w:r>
      <w:r>
        <w:rPr>
          <w:b/>
        </w:rPr>
        <w:t>and</w:t>
      </w:r>
      <w:r>
        <w:t xml:space="preserve"> the two-hundred-token channel says another. Adding a channel therefore helps only if that horizon carries a useful </w:t>
      </w:r>
      <w:r>
        <w:rPr>
          <w:b/>
        </w:rPr>
        <w:t>standalone</w:t>
      </w:r>
      <w:r>
        <w:t xml:space="preserve"> signal. It does not buy interaction terms. The MLP, by contrast, concatenates every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e>
        </m:box>
      </m:oMath>
      <w:r>
        <w:t xml:space="preserve"> with </w:t>
      </w:r>
      <m:oMath>
        <m:box>
          <m:boxPr>
            <m:ctrlPr>
              <w:rPr>
                <w:rFonts w:ascii="Cambria Math" w:hAnsi="Cambria Math"/>
              </w:rPr>
            </m:ctrlPr>
          </m:boxPr>
          <m:e>
            <m:r>
              <w:rPr>
                <w:rFonts w:ascii="Cambria Math" w:hAnsi="Cambria Math"/>
              </w:rPr>
              <m:t>h</m:t>
            </m:r>
          </m:e>
        </m:box>
      </m:oMath>
      <w:r>
        <w:t xml:space="preserve"> and sends the joint vector through a shared nonlinearity, so gating, disagreement detectors, and other cross-horizon features are available in principle.</w:t>
      </w:r>
    </w:p>
    <w:p w14:paraId="7D2FC921" w14:textId="77777777" w:rsidR="00C93BBD" w:rsidRDefault="00000000">
      <w:r>
        <w:t xml:space="preserve">Adjacent exponential moving averages are also strongly correlated. Channels with decays such as </w:t>
      </w:r>
      <m:oMath>
        <m:box>
          <m:boxPr>
            <m:ctrlPr>
              <w:rPr>
                <w:rFonts w:ascii="Cambria Math" w:hAnsi="Cambria Math"/>
              </w:rPr>
            </m:ctrlPr>
          </m:boxPr>
          <m:e>
            <m:r>
              <w:rPr>
                <w:rFonts w:ascii="Cambria Math" w:hAnsi="Cambria Math"/>
              </w:rPr>
              <m:t>α</m:t>
            </m:r>
            <m:r>
              <m:rPr>
                <m:sty m:val="p"/>
              </m:rPr>
              <w:rPr>
                <w:rFonts w:ascii="Cambria Math" w:hAnsi="Cambria Math"/>
              </w:rPr>
              <m:t>=0.99</m:t>
            </m:r>
          </m:e>
        </m:box>
      </m:oMath>
      <w:r>
        <w:t xml:space="preserve"> and </w:t>
      </w:r>
      <m:oMath>
        <m:box>
          <m:boxPr>
            <m:ctrlPr>
              <w:rPr>
                <w:rFonts w:ascii="Cambria Math" w:hAnsi="Cambria Math"/>
              </w:rPr>
            </m:ctrlPr>
          </m:boxPr>
          <m:e>
            <m:r>
              <w:rPr>
                <w:rFonts w:ascii="Cambria Math" w:hAnsi="Cambria Math"/>
              </w:rPr>
              <m:t>α</m:t>
            </m:r>
            <m:r>
              <m:rPr>
                <m:sty m:val="p"/>
              </m:rPr>
              <w:rPr>
                <w:rFonts w:ascii="Cambria Math" w:hAnsi="Cambria Math"/>
              </w:rPr>
              <m:t>=0.995</m:t>
            </m:r>
          </m:e>
        </m:box>
      </m:oMath>
      <w:r>
        <w:t xml:space="preserve"> are nested low-pass filters; every kernel passes the constant (direct-current) mode, so the effective number of independent directions in the bank is smaller than the nominal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e>
        </m:box>
      </m:oMath>
      <w:r>
        <w:t xml:space="preserve">. An extra Gaussian bank that sees a near-duplicate of an existing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e>
        </m:box>
      </m:oMath>
      <w:r>
        <w:t xml:space="preserve"> still adds a full set of well parameters and a full contribution to the force. The additive structure cannot rotate that redundancy away. The MLP’s first layer can down-weight or linearly combine correlated inputs at cost </w:t>
      </w:r>
      <m:oMath>
        <m:box>
          <m:boxPr>
            <m:ctrlPr>
              <w:rPr>
                <w:rFonts w:ascii="Cambria Math" w:hAnsi="Cambria Math"/>
              </w:rPr>
            </m:ctrlPr>
          </m:box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per extra channel, without cloning a curvature machine.</w:t>
      </w:r>
    </w:p>
    <w:p w14:paraId="2D43E4D6" w14:textId="77777777" w:rsidR="00C93BBD" w:rsidRDefault="00000000">
      <w:r>
        <w:t xml:space="preserve">That last point is specific to the anisotropic family. Every anisotropic bank has its own </w:t>
      </w:r>
      <w:r>
        <w:rPr>
          <w:rFonts w:ascii="Consolas" w:hAnsi="Consolas"/>
        </w:rPr>
        <w:t>B_proj</w:t>
      </w:r>
      <w:r>
        <w:t>, producing a rank-</w:t>
      </w:r>
      <m:oMath>
        <m:box>
          <m:boxPr>
            <m:ctrlPr>
              <w:rPr>
                <w:rFonts w:ascii="Cambria Math" w:hAnsi="Cambria Math"/>
              </w:rPr>
            </m:ctrlPr>
          </m:boxPr>
          <m:e>
            <m:r>
              <w:rPr>
                <w:rFonts w:ascii="Cambria Math" w:hAnsi="Cambria Math"/>
              </w:rPr>
              <m:t>r</m:t>
            </m:r>
          </m:e>
        </m:box>
      </m:oMath>
      <w:r>
        <w:t xml:space="preserve"> update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e>
        </m:box>
      </m:oMath>
      <w:r>
        <w:t xml:space="preserve"> in the precision. Extra channels increase the independent off-diagonal curvature that the integrator has to confine (the “mechanism-A stiffness” of the CfC-BAOAB notes). The MLP has no per-channel ellipsoid at all. On OpenWebText Fock-PARFLM runs the K-EMA bank is therefore almost always left at four channels. For the MLP that choice makes the first layer a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For the additive Gaussian it is a compromise between covering a few genuinely different timescales and not cloning correlated force fields.</w:t>
      </w:r>
    </w:p>
    <w:p w14:paraId="20AEA44F" w14:textId="77777777" w:rsidR="00C93BBD" w:rsidRDefault="00000000">
      <w:r>
        <w:t xml:space="preserve">That is why proposals such as HiPPO-LegT or S4D, discussed in the multi-channel </w:t>
      </w:r>
      <m:oMath>
        <m:box>
          <m:boxPr>
            <m:ctrlPr>
              <w:rPr>
                <w:rFonts w:ascii="Cambria Math" w:hAnsi="Cambria Math"/>
              </w:rPr>
            </m:ctrlPr>
          </m:boxPr>
          <m:e>
            <m:r>
              <w:rPr>
                <w:rFonts w:ascii="Cambria Math" w:hAnsi="Cambria Math"/>
              </w:rPr>
              <m:t>ξ</m:t>
            </m:r>
          </m:e>
        </m:box>
      </m:oMath>
      <w:r>
        <w:t xml:space="preserve"> notes, try to replace raw EMAs by more orthogonal filters rather than by simply taking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e>
        </m:box>
      </m:oMath>
      <w:r>
        <w:t xml:space="preserve"> larger. Orthogonalising the bank is a change to how </w:t>
      </w:r>
      <m:oMath>
        <m:box>
          <m:boxPr>
            <m:ctrlPr>
              <w:rPr>
                <w:rFonts w:ascii="Cambria Math" w:hAnsi="Cambria Math"/>
              </w:rPr>
            </m:ctrlPr>
          </m:boxPr>
          <m:e>
            <m:r>
              <w:rPr>
                <w:rFonts w:ascii="Cambria Math" w:hAnsi="Cambria Math"/>
              </w:rPr>
              <m:t>ξ</m:t>
            </m:r>
          </m:e>
        </m:box>
      </m:oMath>
      <w:r>
        <w:t xml:space="preserve"> is computed. It is not a substitute for giving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 joint, rather than additive, reading of those channels — the subject of the next subsection and of [9].</w:t>
      </w:r>
    </w:p>
    <w:p w14:paraId="66E237E0" w14:textId="77777777" w:rsidR="00C93BBD" w:rsidRDefault="00C93BBD" w:rsidP="00F05F79"/>
    <w:p w14:paraId="0F8669AA" w14:textId="77777777" w:rsidR="00C93BBD" w:rsidRDefault="00000000" w:rsidP="00050EC7">
      <w:pPr>
        <w:pStyle w:val="Heading3"/>
      </w:pPr>
      <w:bookmarkStart w:id="42" w:name="_Toc239712611"/>
      <w:bookmarkStart w:id="43" w:name="_Toc240119395"/>
      <w:r>
        <w:t>Can we do something better than flattening?</w:t>
      </w:r>
      <w:bookmarkEnd w:id="42"/>
      <w:bookmarkEnd w:id="43"/>
    </w:p>
    <w:p w14:paraId="329057B4" w14:textId="77777777" w:rsidR="00C93BBD" w:rsidRPr="00050EC7" w:rsidRDefault="00000000" w:rsidP="00F05F79">
      <w:pPr>
        <w:rPr>
          <w:color w:val="FF0000"/>
        </w:rPr>
      </w:pPr>
      <w:r>
        <w:t>Yes. Two alternatives are already in the code, and they attack different parts of the concat-adapter limitation.</w:t>
      </w:r>
    </w:p>
    <w:p w14:paraId="66817007" w14:textId="77777777" w:rsidR="00C93BBD" w:rsidRDefault="00000000">
      <w:r>
        <w:t xml:space="preserve">The first is the additive multi-context wiring already described: </w:t>
      </w:r>
      <w:r>
        <w:rPr>
          <w:rFonts w:ascii="Consolas" w:hAnsi="Consolas"/>
        </w:rPr>
        <w:t>MultiContextGaussianVTheta</w:t>
      </w:r>
      <w:r>
        <w:t xml:space="preserve"> and its depth-conditioned and anisotropic relatives. Flattening is abandoned; each channel owns a bank of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wells; the potential is the sum of the bank scalars. That restores horizon-specific attractors at the same parameter count as a concat bank with the same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It does </w:t>
      </w:r>
      <w:r>
        <w:rPr>
          <w:b/>
        </w:rPr>
        <w:t>not</w:t>
      </w:r>
      <w:r>
        <w:t xml:space="preserve"> restore cross-horizon conjunctions, which is why extra channels still saturate, as the previous subsection argued.</w:t>
      </w:r>
    </w:p>
    <w:p w14:paraId="0EB39C01" w14:textId="77777777" w:rsidR="00C93BBD" w:rsidRDefault="00000000">
      <w:r>
        <w:t xml:space="preserve">The second is a </w:t>
      </w:r>
      <w:r>
        <w:rPr>
          <w:b/>
        </w:rPr>
        <w:t>joint</w:t>
      </w:r>
      <w:r>
        <w:t xml:space="preserve"> bank whose well parameters are functions of the concatenated context, implemented as </w:t>
      </w:r>
      <w:r>
        <w:rPr>
          <w:rFonts w:ascii="Consolas" w:hAnsi="Consolas"/>
        </w:rPr>
        <w:t>JointContextAnisotropicGaussianVTheta</w:t>
      </w:r>
      <w:r>
        <w:t xml:space="preserve"> and selected on </w:t>
      </w:r>
      <w:r>
        <w:rPr>
          <w:rFonts w:ascii="Consolas" w:hAnsi="Consolas"/>
        </w:rPr>
        <w:t>AnisotropicDepthConditionedGaussianVTheta</w:t>
      </w:r>
      <w:r>
        <w:t xml:space="preserve"> by </w:t>
      </w:r>
      <w:r>
        <w:rPr>
          <w:rFonts w:ascii="Consolas" w:hAnsi="Consolas"/>
        </w:rPr>
        <w:t>coupling='joint'</w:t>
      </w:r>
      <w:r>
        <w:t xml:space="preserve">. Analyticity of the force requires only that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e>
        </m:box>
      </m:oMath>
      <w:r>
        <w:t xml:space="preserve"> depend on </w:t>
      </w:r>
      <m:oMath>
        <m:box>
          <m:boxPr>
            <m:ctrlPr>
              <w:rPr>
                <w:rFonts w:ascii="Cambria Math" w:hAnsi="Cambria Math"/>
              </w:rPr>
            </m:ctrlPr>
          </m:boxPr>
          <m:e>
            <m:r>
              <w:rPr>
                <w:rFonts w:ascii="Cambria Math" w:hAnsi="Cambria Math"/>
              </w:rPr>
              <m:t>ξ</m:t>
            </m:r>
          </m:e>
        </m:box>
      </m:oMath>
      <w:r>
        <w:t xml:space="preserve"> and not on </w:t>
      </w:r>
      <m:oMath>
        <m:box>
          <m:boxPr>
            <m:ctrlPr>
              <w:rPr>
                <w:rFonts w:ascii="Cambria Math" w:hAnsi="Cambria Math"/>
              </w:rPr>
            </m:ctrlPr>
          </m:boxPr>
          <m:e>
            <m:r>
              <w:rPr>
                <w:rFonts w:ascii="Cambria Math" w:hAnsi="Cambria Math"/>
              </w:rPr>
              <m:t>h</m:t>
            </m:r>
          </m:e>
        </m:box>
      </m:oMath>
      <w:r>
        <w:t xml:space="preserve">. They are allowed to be arbitrary joint functions of all channels. A single projection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is the simplest such function: every well can see every horizon, so additive </w:t>
      </w:r>
      <w:r>
        <w:lastRenderedPageBreak/>
        <w:t xml:space="preserve">separability is broken, while the force, the Hessian in </w:t>
      </w:r>
      <m:oMath>
        <m:box>
          <m:boxPr>
            <m:ctrlPr>
              <w:rPr>
                <w:rFonts w:ascii="Cambria Math" w:hAnsi="Cambria Math"/>
              </w:rPr>
            </m:ctrlPr>
          </m:boxPr>
          <m:e>
            <m:r>
              <w:rPr>
                <w:rFonts w:ascii="Cambria Math" w:hAnsi="Cambria Math"/>
              </w:rPr>
              <m:t>h</m:t>
            </m:r>
          </m:e>
        </m:box>
      </m:oMath>
      <w:r>
        <w:t xml:space="preserve">, and the CfC-BAOAB harmonic split remain closed form. To match the forty attractors of a </w:t>
      </w:r>
      <m:oMath>
        <m:box>
          <m:boxPr>
            <m:ctrlPr>
              <w:rPr>
                <w:rFonts w:ascii="Cambria Math" w:hAnsi="Cambria Math"/>
              </w:rPr>
            </m:ctrlPr>
          </m:boxPr>
          <m:e>
            <m:r>
              <m:rPr>
                <m:sty m:val="p"/>
              </m:rPr>
              <w:rPr>
                <w:rFonts w:ascii="Cambria Math" w:hAnsi="Cambria Math"/>
              </w:rPr>
              <m:t>5×8</m:t>
            </m:r>
          </m:e>
        </m:box>
      </m:oMath>
      <w:r>
        <w:t xml:space="preserve"> additive stack one sets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=40</m:t>
            </m:r>
          </m:e>
        </m:box>
      </m:oMath>
      <w:r>
        <w:t xml:space="preserve"> on that one bank, accepting a denser map.</w:t>
      </w:r>
    </w:p>
    <w:p w14:paraId="1B749594" w14:textId="77777777" w:rsidR="00C93BBD" w:rsidRDefault="00000000">
      <w:r>
        <w:t>Companion note [9] (</w:t>
      </w:r>
      <w:r>
        <w:rPr>
          <w:rFonts w:ascii="Consolas" w:hAnsi="Consolas"/>
        </w:rPr>
        <w:t>Analytic_Multi_Channel_Integration_in_Structured_Vtheta.md</w:t>
      </w:r>
      <w:r>
        <w:t xml:space="preserve">) develops the rest of the ladder — conjunctive gates, product-of-experts fusion of Gaussian factors, bilinear cross-features — and the curvature caveat: fusing channels concentrates stiffness rather than cloning it. The joint projection is the drop-in prototype; the other rungs remain design options. Nothing in that note changes the K-EMA computation of </w:t>
      </w:r>
      <m:oMath>
        <m:box>
          <m:boxPr>
            <m:ctrlPr>
              <w:rPr>
                <w:rFonts w:ascii="Cambria Math" w:hAnsi="Cambria Math"/>
              </w:rPr>
            </m:ctrlPr>
          </m:boxPr>
          <m:e>
            <m:r>
              <w:rPr>
                <w:rFonts w:ascii="Cambria Math" w:hAnsi="Cambria Math"/>
              </w:rPr>
              <m:t>ξ</m:t>
            </m:r>
          </m:e>
        </m:box>
      </m:oMath>
      <w:r>
        <w:t xml:space="preserve"> itself. Geodesic structure still lives in how the integrator walks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h;ξ</m:t>
            </m:r>
            <m:r>
              <m:rPr>
                <m:sty m:val="p"/>
              </m:rPr>
              <w:rPr>
                <w:rFonts w:ascii="Cambria Math" w:hAnsi="Cambria Math"/>
              </w:rPr>
              <m:t>)</m:t>
            </m:r>
          </m:e>
        </m:box>
      </m:oMath>
      <w:r>
        <w:t>, not in how the prefix is averaged.</w:t>
      </w:r>
    </w:p>
    <w:p w14:paraId="629AFF9E" w14:textId="77777777" w:rsidR="00C93BBD" w:rsidRDefault="00C93BBD" w:rsidP="00F05F79"/>
    <w:p w14:paraId="6F4D3AB8" w14:textId="77777777" w:rsidR="00C93BBD" w:rsidRDefault="00000000" w:rsidP="00BC526A">
      <w:pPr>
        <w:pStyle w:val="Heading2"/>
      </w:pPr>
      <w:bookmarkStart w:id="44" w:name="_Toc239712612"/>
      <w:bookmarkStart w:id="45" w:name="_Toc240119396"/>
      <w:r>
        <w:t>Depth conditioning and context banks in structured V theta</w:t>
      </w:r>
      <w:bookmarkEnd w:id="44"/>
      <w:bookmarkEnd w:id="45"/>
    </w:p>
    <w:p w14:paraId="00D29B62" w14:textId="0CE39C46" w:rsidR="00C93BBD" w:rsidRDefault="00000000">
      <w:r>
        <w:t xml:space="preserve">The structured Gaussian used on OpenWebText Fock-PARFLM is not a concat adapter. It is a </w:t>
      </w:r>
      <w:r>
        <w:rPr>
          <w:b/>
        </w:rPr>
        <w:t>depth-conditioned context-bank</w:t>
      </w:r>
      <w:r>
        <w:t xml:space="preserve"> module: several well banks, one per K-EMA channel, sharing their parameters across Verlet layers except for a </w:t>
      </w:r>
      <w:r w:rsidR="00D20131">
        <w:t>small, learned</w:t>
      </w:r>
      <w:r>
        <w:t xml:space="preserve"> shift of the context. The isotropic form is </w:t>
      </w:r>
      <w:r>
        <w:rPr>
          <w:rFonts w:ascii="Consolas" w:hAnsi="Consolas"/>
        </w:rPr>
        <w:t>DepthConditionedMultiContextGaussianVTheta</w:t>
      </w:r>
      <w:r>
        <w:t xml:space="preserve"> in </w:t>
      </w:r>
      <w:r>
        <w:rPr>
          <w:rFonts w:ascii="Consolas" w:hAnsi="Consolas"/>
        </w:rPr>
        <w:t>model_gaussian_vtheta.py</w:t>
      </w:r>
      <w:r>
        <w:t xml:space="preserve">. The anisotropic form is </w:t>
      </w:r>
      <w:r>
        <w:rPr>
          <w:rFonts w:ascii="Consolas" w:hAnsi="Consolas"/>
        </w:rPr>
        <w:t>AnisotropicDepthConditionedGaussianVTheta</w:t>
      </w:r>
      <w:r>
        <w:t xml:space="preserve"> in </w:t>
      </w:r>
      <w:r>
        <w:rPr>
          <w:rFonts w:ascii="Consolas" w:hAnsi="Consolas"/>
        </w:rPr>
        <w:t>model_aniso_gaussian_vtheta.py</w:t>
      </w:r>
      <w:r>
        <w:t xml:space="preserve">. Both read the same multi-channel tensor </w:t>
      </w:r>
      <m:oMath>
        <m:box>
          <m:boxPr>
            <m:ctrlPr>
              <w:rPr>
                <w:rFonts w:ascii="Cambria Math" w:hAnsi="Cambria Math"/>
              </w:rPr>
            </m:ctrlPr>
          </m:boxPr>
          <m:e>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m:t>
                    </m:r>
                    <m:r>
                      <w:rPr>
                        <w:rFonts w:ascii="Cambria Math" w:hAnsi="Cambria Math"/>
                      </w:rPr>
                      <m:t>d</m:t>
                    </m:r>
                  </m:e>
                </m:box>
              </m:sup>
            </m:sSup>
          </m:e>
        </m:box>
      </m:oMath>
      <w:r>
        <w:t xml:space="preserve"> and the same particle coordinate </w:t>
      </w:r>
      <m:oMath>
        <m:box>
          <m:boxPr>
            <m:ctrlPr>
              <w:rPr>
                <w:rFonts w:ascii="Cambria Math" w:hAnsi="Cambria Math"/>
              </w:rPr>
            </m:ctrlPr>
          </m:boxPr>
          <m:e>
            <m:r>
              <w:rPr>
                <w:rFonts w:ascii="Cambria Math" w:hAnsi="Cambria Math"/>
              </w:rPr>
              <m:t>h</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w:t>
      </w:r>
    </w:p>
    <w:p w14:paraId="2A9FBFDE" w14:textId="77777777" w:rsidR="00C93BBD" w:rsidRDefault="00000000">
      <w:pPr>
        <w:pStyle w:val="Heading3"/>
      </w:pPr>
      <w:bookmarkStart w:id="46" w:name="_Toc239712613"/>
      <w:bookmarkStart w:id="47" w:name="_Toc240119397"/>
      <w:r>
        <w:t>Context banks</w:t>
      </w:r>
      <w:bookmarkEnd w:id="46"/>
      <w:bookmarkEnd w:id="47"/>
    </w:p>
    <w:p w14:paraId="4D906324" w14:textId="77777777" w:rsidR="00C93BBD" w:rsidRDefault="00000000">
      <w:r>
        <w:t xml:space="preserve">Write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oMath>
      <w:r>
        <w:t xml:space="preserve"> for the number of banks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for the number of wells inside each bank. The OpenWebText default is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=5</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hence forty Gaussian terms. Bank </w:t>
      </w:r>
      <m:oMath>
        <m:box>
          <m:boxPr>
            <m:ctrlPr>
              <w:rPr>
                <w:rFonts w:ascii="Cambria Math" w:hAnsi="Cambria Math"/>
              </w:rPr>
            </m:ctrlPr>
          </m:boxPr>
          <m:e>
            <m:r>
              <w:rPr>
                <w:rFonts w:ascii="Cambria Math" w:hAnsi="Cambria Math"/>
              </w:rPr>
              <m:t>m</m:t>
            </m:r>
          </m:e>
        </m:box>
      </m:oMath>
      <w:r>
        <w:t xml:space="preserve"> sees only its own channel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Its three maps are therefore narrow,</w:t>
      </w:r>
    </w:p>
    <w:p w14:paraId="373849F6" w14:textId="77777777" w:rsidR="00C93BBD" w:rsidRDefault="00000000">
      <w:r>
        <w:t xml:space="preserve">Bank </w:t>
      </w:r>
      <m:oMath>
        <m:box>
          <m:boxPr>
            <m:ctrlPr>
              <w:rPr>
                <w:rFonts w:ascii="Cambria Math" w:hAnsi="Cambria Math"/>
              </w:rPr>
            </m:ctrlPr>
          </m:boxPr>
          <m:e>
            <m:r>
              <w:rPr>
                <w:rFonts w:ascii="Cambria Math" w:hAnsi="Cambria Math"/>
              </w:rPr>
              <m:t>m</m:t>
            </m:r>
          </m:e>
        </m:box>
      </m:oMath>
      <w:r>
        <w:t xml:space="preserve"> therefore has </w:t>
      </w:r>
      <w:r>
        <w:rPr>
          <w:rFonts w:ascii="Consolas" w:hAnsi="Consolas"/>
        </w:rPr>
        <w:t>mu_proj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w:t>
      </w:r>
      <w:r>
        <w:rPr>
          <w:rFonts w:ascii="Consolas" w:hAnsi="Consolas"/>
        </w:rPr>
        <w:t>a_proj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and </w:t>
      </w:r>
      <w:r>
        <w:rPr>
          <w:rFonts w:ascii="Consolas" w:hAnsi="Consolas"/>
        </w:rPr>
        <w:t>w_proj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w:t>
      </w:r>
    </w:p>
    <w:p w14:paraId="057A377D" w14:textId="77777777" w:rsidR="00C93BBD" w:rsidRDefault="00000000">
      <w:r>
        <w:t>and the total potential is the sum already written as (mcgvt.3),</w:t>
      </w:r>
    </w:p>
    <w:p w14:paraId="3CAF7713" w14:textId="77777777" w:rsidR="00C93BBD"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m</m:t>
                      </m:r>
                      <m:r>
                        <m:rPr>
                          <m:sty m:val="p"/>
                        </m:rPr>
                        <w:rPr>
                          <w:rFonts w:ascii="Cambria Math" w:hAnsi="Cambria Math"/>
                        </w:rPr>
                        <m:t>=1</m:t>
                      </m:r>
                    </m:e>
                  </m:box>
                </m:sub>
                <m:sup>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sup>
                <m:e>
                  <m:sSup>
                    <m:sSupPr>
                      <m:ctrlPr>
                        <w:rPr>
                          <w:rFonts w:ascii="Cambria Math" w:hAnsi="Cambria Math"/>
                        </w:rPr>
                      </m:ctrlPr>
                    </m:sSupPr>
                    <m:e>
                      <m:r>
                        <w:rPr>
                          <w:rFonts w:ascii="Cambria Math" w:hAnsi="Cambria Math"/>
                        </w:rPr>
                        <m:t>V</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3277E460" w14:textId="77777777" w:rsidR="00C93BBD" w:rsidRDefault="00000000">
      <w:r>
        <w:t xml:space="preserve">Each centre is a function of a single timescale. The linear mass of the centre maps is the same as that of a concat adapter with the same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but the forty centres are not forty linear mixtures of a blurred </w:t>
      </w:r>
      <m:oMath>
        <m:box>
          <m:boxPr>
            <m:ctrlPr>
              <w:rPr>
                <w:rFonts w:ascii="Cambria Math" w:hAnsi="Cambria Math"/>
              </w:rPr>
            </m:ctrlPr>
          </m:boxPr>
          <m:e>
            <m:r>
              <m:rPr>
                <m:sty m:val="p"/>
              </m:rPr>
              <w:rPr>
                <w:rFonts w:ascii="Cambria Math" w:hAnsi="Cambria Math"/>
              </w:rPr>
              <m:t>5</m:t>
            </m:r>
            <m:r>
              <w:rPr>
                <w:rFonts w:ascii="Cambria Math" w:hAnsi="Cambria Math"/>
              </w:rPr>
              <m:t>d</m:t>
            </m:r>
          </m:e>
        </m:box>
      </m:oMath>
      <w:r>
        <w:t xml:space="preserve"> vector; they are eight centres on channel 1, eight on channel 2, and so on. Depth conditioning, below, does not add a fourth projection. It only shifts the input that these three maps already see.</w:t>
      </w:r>
    </w:p>
    <w:p w14:paraId="3C8113DD" w14:textId="77777777" w:rsidR="00C93BBD" w:rsidRDefault="00000000">
      <w:pPr>
        <w:pStyle w:val="Heading3"/>
      </w:pPr>
      <w:bookmarkStart w:id="48" w:name="_Toc239712614"/>
      <w:bookmarkStart w:id="49" w:name="_Toc240119398"/>
      <w:r>
        <w:t>Depth codes as a per-layer shift</w:t>
      </w:r>
      <w:bookmarkEnd w:id="48"/>
      <w:bookmarkEnd w:id="49"/>
    </w:p>
    <w:p w14:paraId="3EE3C8B9" w14:textId="77777777" w:rsidR="00C93BBD" w:rsidRDefault="00000000">
      <w:r>
        <w:t xml:space="preserve">Fully untying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across the </w:t>
      </w:r>
      <m:oMath>
        <m:box>
          <m:boxPr>
            <m:ctrlPr>
              <w:rPr>
                <w:rFonts w:ascii="Cambria Math" w:hAnsi="Cambria Math"/>
              </w:rPr>
            </m:ctrlPr>
          </m:boxPr>
          <m:e>
            <m:r>
              <w:rPr>
                <w:rFonts w:ascii="Cambria Math" w:hAnsi="Cambria Math"/>
              </w:rPr>
              <m:t>L</m:t>
            </m:r>
          </m:e>
        </m:box>
      </m:oMath>
      <w:r>
        <w:t xml:space="preserve"> integration layers would copy the entire bank stack </w:t>
      </w:r>
      <m:oMath>
        <m:box>
          <m:boxPr>
            <m:ctrlPr>
              <w:rPr>
                <w:rFonts w:ascii="Cambria Math" w:hAnsi="Cambria Math"/>
              </w:rPr>
            </m:ctrlPr>
          </m:boxPr>
          <m:e>
            <m:r>
              <w:rPr>
                <w:rFonts w:ascii="Cambria Math" w:hAnsi="Cambria Math"/>
              </w:rPr>
              <m:t>L</m:t>
            </m:r>
          </m:e>
        </m:box>
      </m:oMath>
      <w:r>
        <w:t xml:space="preserve"> times. At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=5</m:t>
            </m:r>
          </m:e>
        </m:box>
      </m:oMath>
      <w:r>
        <w:t xml:space="preserve"> and </w:t>
      </w:r>
      <m:oMath>
        <m:box>
          <m:boxPr>
            <m:ctrlPr>
              <w:rPr>
                <w:rFonts w:ascii="Cambria Math" w:hAnsi="Cambria Math"/>
              </w:rPr>
            </m:ctrlPr>
          </m:boxPr>
          <m:e>
            <m:r>
              <w:rPr>
                <w:rFonts w:ascii="Cambria Math" w:hAnsi="Cambria Math"/>
              </w:rPr>
              <m:t>L</m:t>
            </m:r>
            <m:r>
              <m:rPr>
                <m:sty m:val="p"/>
              </m:rPr>
              <w:rPr>
                <w:rFonts w:ascii="Cambria Math" w:hAnsi="Cambria Math"/>
              </w:rPr>
              <m:t>=16</m:t>
            </m:r>
          </m:e>
        </m:box>
      </m:oMath>
      <w:r>
        <w:t xml:space="preserve"> that is tens of millions of extra parameters, almost all of them in the dense </w:t>
      </w:r>
      <m:oMath>
        <m:box>
          <m:boxPr>
            <m:ctrlPr>
              <w:rPr>
                <w:rFonts w:ascii="Cambria Math" w:hAnsi="Cambria Math"/>
              </w:rPr>
            </m:ctrlPr>
          </m:box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maps. The depth-conditioned module keeps </w:t>
      </w:r>
      <w:r>
        <w:rPr>
          <w:b/>
        </w:rPr>
        <w:t>one</w:t>
      </w:r>
      <w:r>
        <w:t xml:space="preserve"> shared stack and introduces a learned table</w:t>
      </w:r>
    </w:p>
    <w:p w14:paraId="439826F7" w14:textId="77777777" w:rsidR="00C93BBD" w:rsidRDefault="00000000">
      <m:oMathPara>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m:t>
                      </m:r>
                      <m:r>
                        <w:rPr>
                          <w:rFonts w:ascii="Cambria Math" w:hAnsi="Cambria Math"/>
                        </w:rPr>
                        <m:t>d</m:t>
                      </m:r>
                    </m:e>
                  </m:box>
                </m:sup>
              </m:sSup>
              <m:r>
                <m:rPr>
                  <m:sty m:val="p"/>
                </m:rPr>
                <w:rPr>
                  <w:rFonts w:ascii="Cambria Math" w:hAnsi="Cambria Math"/>
                </w:rPr>
                <m:t>,</m:t>
              </m:r>
            </m:e>
          </m:box>
        </m:oMath>
      </m:oMathPara>
    </w:p>
    <w:p w14:paraId="3F1BAFB1" w14:textId="77777777" w:rsidR="00C93BBD" w:rsidRDefault="00000000">
      <w:r>
        <w:t xml:space="preserve">the </w:t>
      </w:r>
      <w:r>
        <w:rPr>
          <w:rFonts w:ascii="Consolas" w:hAnsi="Consolas"/>
        </w:rPr>
        <w:t>depth_code</w:t>
      </w:r>
      <w:r>
        <w:t xml:space="preserve"> parameter, initialised from </w:t>
      </w:r>
      <m:oMath>
        <m:box>
          <m:boxPr>
            <m:ctrlPr>
              <w:rPr>
                <w:rFonts w:ascii="Cambria Math" w:hAnsi="Cambria Math"/>
              </w:rPr>
            </m:ctrlPr>
          </m:boxPr>
          <m:e>
            <m:r>
              <m:rPr>
                <m:scr m:val="script"/>
              </m:rPr>
              <w:rPr>
                <w:rFonts w:ascii="Cambria Math" w:hAnsi="Cambria Math"/>
              </w:rPr>
              <m:t>N</m:t>
            </m:r>
            <m:r>
              <m:rPr>
                <m:sty m:val="p"/>
              </m:rPr>
              <w:rPr>
                <w:rFonts w:ascii="Cambria Math" w:hAnsi="Cambria Math"/>
              </w:rPr>
              <m:t>(0,</m:t>
            </m:r>
            <m:sSup>
              <m:sSupPr>
                <m:ctrlPr>
                  <w:rPr>
                    <w:rFonts w:ascii="Cambria Math" w:hAnsi="Cambria Math"/>
                  </w:rPr>
                </m:ctrlPr>
              </m:sSupPr>
              <m:e>
                <m:r>
                  <m:rPr>
                    <m:sty m:val="p"/>
                  </m:rPr>
                  <w:rPr>
                    <w:rFonts w:ascii="Cambria Math" w:hAnsi="Cambria Math"/>
                  </w:rPr>
                  <m:t>0.02</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Before the bank projections at layer </w:t>
      </w:r>
      <m:oMath>
        <m:box>
          <m:boxPr>
            <m:ctrlPr>
              <w:rPr>
                <w:rFonts w:ascii="Cambria Math" w:hAnsi="Cambria Math"/>
              </w:rPr>
            </m:ctrlPr>
          </m:boxPr>
          <m:e>
            <m:r>
              <m:rPr>
                <m:scr m:val="script"/>
              </m:rPr>
              <w:rPr>
                <w:rFonts w:ascii="Cambria Math" w:hAnsi="Cambria Math"/>
              </w:rPr>
              <m:t>l</m:t>
            </m:r>
          </m:e>
        </m:box>
      </m:oMath>
      <w:r>
        <w:t xml:space="preserve"> one replaces</w:t>
      </w:r>
    </w:p>
    <w:p w14:paraId="242FEA9A" w14:textId="77777777" w:rsidR="00C93BBD" w:rsidRDefault="00000000">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nor/>
                </m:rPr>
                <w:rPr>
                  <w:rFonts w:ascii="Cambria Math" w:hAnsi="Cambria Math"/>
                </w:rPr>
                <m:t> </m:t>
              </m:r>
              <m:r>
                <w:rPr>
                  <w:rFonts w:ascii="Cambria Math" w:hAnsi="Cambria Math"/>
                </w:rPr>
                <m:t>arrow</m:t>
              </m:r>
              <m:r>
                <m:rPr>
                  <m:nor/>
                </m:rPr>
                <w:rPr>
                  <w:rFonts w:ascii="Cambria Math" w:hAnsi="Cambria Math"/>
                </w:rPr>
                <m:t> </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cr m:val="script"/>
                        </m:rPr>
                        <w:rPr>
                          <w:rFonts w:ascii="Cambria Math" w:hAnsi="Cambria Math"/>
                        </w:rPr>
                        <m:t>l</m:t>
                      </m:r>
                      <m:r>
                        <m:rPr>
                          <m:sty m:val="p"/>
                        </m:rPr>
                        <w:rPr>
                          <w:rFonts w:ascii="Cambria Math" w:hAnsi="Cambria Math"/>
                        </w:rPr>
                        <m:t>,</m:t>
                      </m:r>
                      <m:r>
                        <w:rPr>
                          <w:rFonts w:ascii="Cambria Math" w:hAnsi="Cambria Math"/>
                        </w:rPr>
                        <m:t>m</m:t>
                      </m:r>
                    </m:e>
                  </m:box>
                </m:sub>
              </m:sSub>
              <m:r>
                <m:rPr>
                  <m:sty m:val="p"/>
                </m:rPr>
                <w:rPr>
                  <w:rFonts w:ascii="Cambria Math" w:hAnsi="Cambria Math"/>
                </w:rPr>
                <m:t>.</m:t>
              </m:r>
            </m:e>
          </m:box>
        </m:oMath>
      </m:oMathPara>
    </w:p>
    <w:p w14:paraId="5D47CC7E" w14:textId="77777777" w:rsidR="00C93BBD" w:rsidRDefault="00000000">
      <w:r>
        <w:t xml:space="preserve">The code is constant with respect to </w:t>
      </w:r>
      <m:oMath>
        <m:box>
          <m:boxPr>
            <m:ctrlPr>
              <w:rPr>
                <w:rFonts w:ascii="Cambria Math" w:hAnsi="Cambria Math"/>
              </w:rPr>
            </m:ctrlPr>
          </m:boxPr>
          <m:e>
            <m:r>
              <w:rPr>
                <w:rFonts w:ascii="Cambria Math" w:hAnsi="Cambria Math"/>
              </w:rPr>
              <m:t>h</m:t>
            </m:r>
          </m:e>
        </m:box>
      </m:oMath>
      <w:r>
        <w:t xml:space="preserve">, so the force remains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of a scalar; only the conditioning has changed. The extra cost is </w:t>
      </w:r>
      <m:oMath>
        <m:box>
          <m:boxPr>
            <m:ctrlPr>
              <w:rPr>
                <w:rFonts w:ascii="Cambria Math" w:hAnsi="Cambria Math"/>
              </w:rPr>
            </m:ctrlPr>
          </m:boxPr>
          <m:e>
            <m:r>
              <w:rPr>
                <w:rFonts w:ascii="Cambria Math" w:hAnsi="Cambria Math"/>
              </w:rPr>
              <m:t>L</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w:rPr>
                <w:rFonts w:ascii="Cambria Math" w:hAnsi="Cambria Math"/>
              </w:rPr>
              <m:t>d</m:t>
            </m:r>
          </m:e>
        </m:box>
      </m:oMath>
      <w:r>
        <w:t xml:space="preserve"> parameters (about thirty thousand at the numbers above), not a second copy of the banks. The well </w:t>
      </w:r>
      <w:r>
        <w:rPr>
          <w:b/>
        </w:rPr>
        <w:t>shapes</w:t>
      </w:r>
      <w:r>
        <w:t xml:space="preserve"> stay tied across depth; what varies with </w:t>
      </w:r>
      <m:oMath>
        <m:box>
          <m:boxPr>
            <m:ctrlPr>
              <w:rPr>
                <w:rFonts w:ascii="Cambria Math" w:hAnsi="Cambria Math"/>
              </w:rPr>
            </m:ctrlPr>
          </m:boxPr>
          <m:e>
            <m:r>
              <m:rPr>
                <m:scr m:val="script"/>
              </m:rPr>
              <w:rPr>
                <w:rFonts w:ascii="Cambria Math" w:hAnsi="Cambria Math"/>
              </w:rPr>
              <m:t>l</m:t>
            </m:r>
          </m:e>
        </m:box>
      </m:oMath>
      <w:r>
        <w:t xml:space="preserve"> is which view of </w:t>
      </w:r>
      <m:oMath>
        <m:box>
          <m:boxPr>
            <m:ctrlPr>
              <w:rPr>
                <w:rFonts w:ascii="Cambria Math" w:hAnsi="Cambria Math"/>
              </w:rPr>
            </m:ctrlPr>
          </m:boxPr>
          <m:e>
            <m:r>
              <w:rPr>
                <w:rFonts w:ascii="Cambria Math" w:hAnsi="Cambria Math"/>
              </w:rPr>
              <m:t>ξ</m:t>
            </m:r>
          </m:e>
        </m:box>
      </m:oMath>
      <w:r>
        <w:t xml:space="preserve"> those shapes are evaluated at. The layer index is not an extra argument of </w:t>
      </w:r>
      <w:r>
        <w:rPr>
          <w:rFonts w:ascii="Consolas" w:hAnsi="Consolas"/>
        </w:rPr>
        <w:t>forward</w:t>
      </w:r>
      <w:r>
        <w:t xml:space="preserve">. The model’s per-layer step writes it into </w:t>
      </w:r>
      <w:r>
        <w:rPr>
          <w:rFonts w:ascii="Consolas" w:hAnsi="Consolas"/>
        </w:rPr>
        <w:t>_active_layer</w:t>
      </w:r>
      <w:r>
        <w:t xml:space="preserve"> (</w:t>
      </w:r>
      <w:r>
        <w:rPr>
          <w:rFonts w:ascii="Consolas" w:hAnsi="Consolas"/>
        </w:rPr>
        <w:t>install_depth_routing</w:t>
      </w:r>
      <w:r>
        <w:t xml:space="preserve"> on </w:t>
      </w:r>
      <w:r>
        <w:rPr>
          <w:rFonts w:ascii="Consolas" w:hAnsi="Consolas"/>
        </w:rPr>
        <w:t>FockMultiXiPARFLM</w:t>
      </w:r>
      <w:r>
        <w:t xml:space="preserve">), including during gradient-checkpoint recomputation, and the module reads that pointer when it shifts </w:t>
      </w:r>
      <m:oMath>
        <m:box>
          <m:boxPr>
            <m:ctrlPr>
              <w:rPr>
                <w:rFonts w:ascii="Cambria Math" w:hAnsi="Cambria Math"/>
              </w:rPr>
            </m:ctrlPr>
          </m:boxPr>
          <m:e>
            <m:r>
              <w:rPr>
                <w:rFonts w:ascii="Cambria Math" w:hAnsi="Cambria Math"/>
              </w:rPr>
              <m:t>ξ</m:t>
            </m:r>
          </m:e>
        </m:box>
      </m:oMath>
      <w:r>
        <w:t>.</w:t>
      </w:r>
    </w:p>
    <w:p w14:paraId="267CE09B" w14:textId="77777777" w:rsidR="00C93BBD" w:rsidRDefault="00000000">
      <w:pPr>
        <w:pStyle w:val="Heading3"/>
      </w:pPr>
      <w:bookmarkStart w:id="50" w:name="_Toc239712615"/>
      <w:bookmarkStart w:id="51" w:name="_Toc240119399"/>
      <w:r>
        <w:t>Where the forty wells sit before training</w:t>
      </w:r>
      <w:bookmarkEnd w:id="50"/>
      <w:bookmarkEnd w:id="51"/>
    </w:p>
    <w:p w14:paraId="1FC16431" w14:textId="77777777" w:rsidR="00C93BBD" w:rsidRDefault="00000000">
      <w:r>
        <w:t>The forty wells are not a stored lookup table of points. Each centre is an affine image of its channel,</w:t>
      </w:r>
    </w:p>
    <w:p w14:paraId="592D6306" w14:textId="77777777" w:rsidR="00C93BBD"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k</m:t>
                      </m:r>
                    </m:e>
                  </m:box>
                </m:sub>
              </m:sSub>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m:rPr>
                  <m:nor/>
                </m:rPr>
                <w:rPr>
                  <w:rFonts w:ascii="Cambria Math" w:hAnsi="Cambria Math"/>
                </w:rPr>
                <m:t>reshape</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w:rPr>
                          <w:rFonts w:ascii="Cambria Math" w:hAnsi="Cambria Math"/>
                        </w:rPr>
                        <m:t>k</m:t>
                      </m:r>
                    </m:e>
                  </m:box>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r>
                <m:rPr>
                  <m:sty m:val="p"/>
                </m:rPr>
                <w:rPr>
                  <w:rFonts w:ascii="Cambria Math" w:hAnsi="Cambria Math"/>
                </w:rPr>
                <m:t>.</m:t>
              </m:r>
            </m:e>
          </m:box>
        </m:oMath>
      </m:oMathPara>
    </w:p>
    <w:p w14:paraId="3D3CB200" w14:textId="77777777" w:rsidR="00C93BBD" w:rsidRDefault="00000000">
      <w:r>
        <w:t xml:space="preserve">There is no buffer of frozen PMI anchors — that construction belongs to </w:t>
      </w:r>
      <w:r>
        <w:rPr>
          <w:rFonts w:ascii="Consolas" w:hAnsi="Consolas"/>
        </w:rPr>
        <w:t>SARFGaussianVTheta</w:t>
      </w:r>
      <w:r>
        <w:t xml:space="preserve">, a different class. The biases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e>
        </m:box>
      </m:oMath>
      <w:r>
        <w:t xml:space="preserve"> are initialised to zero in both the isotropic and the anisotropic families. Consequently, if the context vanished, every centre would sit at the origin: a forty-fold degeneracy. On a real first batch, </w:t>
      </w:r>
      <m:oMath>
        <m:box>
          <m:boxPr>
            <m:ctrlPr>
              <w:rPr>
                <w:rFonts w:ascii="Cambria Math" w:hAnsi="Cambria Math"/>
              </w:rPr>
            </m:ctrlPr>
          </m:boxPr>
          <m:e>
            <m:r>
              <w:rPr>
                <w:rFonts w:ascii="Cambria Math" w:hAnsi="Cambria Math"/>
              </w:rPr>
              <m:t>ξ</m:t>
            </m:r>
          </m:e>
        </m:box>
      </m:oMath>
      <w:r>
        <w:t xml:space="preserve"> is a K-EMA of </w:t>
      </w:r>
      <w:r>
        <w:lastRenderedPageBreak/>
        <w:t xml:space="preserve">embeddings drawn from </w:t>
      </w:r>
      <m:oMath>
        <m:box>
          <m:boxPr>
            <m:ctrlPr>
              <w:rPr>
                <w:rFonts w:ascii="Cambria Math" w:hAnsi="Cambria Math"/>
              </w:rPr>
            </m:ctrlPr>
          </m:boxPr>
          <m:e>
            <m:r>
              <m:rPr>
                <m:scr m:val="script"/>
              </m:rPr>
              <w:rPr>
                <w:rFonts w:ascii="Cambria Math" w:hAnsi="Cambria Math"/>
              </w:rPr>
              <m:t>N</m:t>
            </m:r>
            <m:r>
              <m:rPr>
                <m:sty m:val="p"/>
              </m:rPr>
              <w:rPr>
                <w:rFonts w:ascii="Cambria Math" w:hAnsi="Cambria Math"/>
              </w:rPr>
              <m:t>(0,</m:t>
            </m:r>
            <m:sSup>
              <m:sSupPr>
                <m:ctrlPr>
                  <w:rPr>
                    <w:rFonts w:ascii="Cambria Math" w:hAnsi="Cambria Math"/>
                  </w:rPr>
                </m:ctrlPr>
              </m:sSupPr>
              <m:e>
                <m:r>
                  <m:rPr>
                    <m:sty m:val="p"/>
                  </m:rPr>
                  <w:rPr>
                    <w:rFonts w:ascii="Cambria Math" w:hAnsi="Cambria Math"/>
                  </w:rPr>
                  <m:t>0.02</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plus positional codes, so </w:t>
      </w:r>
      <m:oMath>
        <m:box>
          <m:boxPr>
            <m:ctrlPr>
              <w:rPr>
                <w:rFonts w:ascii="Cambria Math" w:hAnsi="Cambria Math"/>
              </w:rPr>
            </m:ctrlPr>
          </m:boxPr>
          <m:e>
            <m:r>
              <w:rPr>
                <w:rFonts w:ascii="Cambria Math" w:hAnsi="Cambria Math"/>
              </w:rPr>
              <m:t>μ</m:t>
            </m:r>
            <m:r>
              <m:rPr>
                <m:sty m:val="p"/>
              </m:rPr>
              <w:rPr>
                <w:rFonts w:ascii="Cambria Math" w:hAnsi="Cambria Math"/>
              </w:rPr>
              <m:t>=</m:t>
            </m:r>
            <m:r>
              <w:rPr>
                <w:rFonts w:ascii="Cambria Math" w:hAnsi="Cambria Math"/>
              </w:rPr>
              <m:t>Wξ</m:t>
            </m:r>
          </m:e>
        </m:box>
      </m:oMath>
      <w:r>
        <w:t xml:space="preserve"> is only a tiny random scatter about zero, not a lattice, a simplex, or a set of token prototypes.</w:t>
      </w:r>
    </w:p>
    <w:p w14:paraId="5C857527" w14:textId="77777777" w:rsidR="00C93BBD" w:rsidRDefault="00000000">
      <w:r>
        <w:t xml:space="preserve">The two families differ in how small that scatter is. Isotropic </w:t>
      </w:r>
      <w:r>
        <w:rPr>
          <w:rFonts w:ascii="Consolas" w:hAnsi="Consolas"/>
        </w:rPr>
        <w:t>mu_proj</w:t>
      </w:r>
      <w:r>
        <w:t xml:space="preserve"> uses Gaussian weights of standard deviation </w:t>
      </w:r>
      <m:oMath>
        <m:box>
          <m:boxPr>
            <m:ctrlPr>
              <w:rPr>
                <w:rFonts w:ascii="Cambria Math" w:hAnsi="Cambria Math"/>
              </w:rPr>
            </m:ctrlPr>
          </m:boxPr>
          <m:e>
            <m:r>
              <m:rPr>
                <m:sty m:val="p"/>
              </m:rPr>
              <w:rPr>
                <w:rFonts w:ascii="Cambria Math" w:hAnsi="Cambria Math"/>
              </w:rPr>
              <m:t>0.02</m:t>
            </m:r>
          </m:e>
        </m:box>
      </m:oMath>
      <w:r>
        <w:t xml:space="preserve">. Anisotropic </w:t>
      </w:r>
      <w:r>
        <w:rPr>
          <w:rFonts w:ascii="Consolas" w:hAnsi="Consolas"/>
        </w:rPr>
        <w:t>mu_proj</w:t>
      </w:r>
      <w:r>
        <w:t xml:space="preserve"> uses Xavier uniform on </w:t>
      </w:r>
      <w:r>
        <w:rPr>
          <w:rFonts w:ascii="Consolas" w:hAnsi="Consolas"/>
        </w:rPr>
        <w:t>Linear(d, K_w d)</w:t>
      </w:r>
      <w:r>
        <w:t xml:space="preserve">, whose bound is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6/(</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r>
                          <m:rPr>
                            <m:sty m:val="p"/>
                          </m:rPr>
                          <w:rPr>
                            <w:rFonts w:ascii="Cambria Math" w:hAnsi="Cambria Math"/>
                          </w:rPr>
                          <m:t>)</m:t>
                        </m:r>
                      </m:e>
                    </m:box>
                  </m:e>
                </m:box>
              </m:e>
            </m:rad>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2/(3</m:t>
                        </m:r>
                        <m:r>
                          <w:rPr>
                            <w:rFonts w:ascii="Cambria Math" w:hAnsi="Cambria Math"/>
                          </w:rPr>
                          <m:t>d</m:t>
                        </m:r>
                        <m:r>
                          <m:rPr>
                            <m:sty m:val="p"/>
                          </m:rPr>
                          <w:rPr>
                            <w:rFonts w:ascii="Cambria Math" w:hAnsi="Cambria Math"/>
                          </w:rPr>
                          <m:t>)</m:t>
                        </m:r>
                      </m:e>
                    </m:box>
                  </m:e>
                </m:box>
              </m:e>
            </m:rad>
          </m:e>
        </m:box>
      </m:oMath>
      <w:r>
        <w:t xml:space="preserve"> when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about </w:t>
      </w:r>
      <m:oMath>
        <m:box>
          <m:boxPr>
            <m:ctrlPr>
              <w:rPr>
                <w:rFonts w:ascii="Cambria Math" w:hAnsi="Cambria Math"/>
              </w:rPr>
            </m:ctrlPr>
          </m:boxPr>
          <m:e>
            <m:r>
              <m:rPr>
                <m:sty m:val="p"/>
              </m:rPr>
              <w:rPr>
                <w:rFonts w:ascii="Cambria Math" w:hAnsi="Cambria Math"/>
              </w:rPr>
              <m:t>0.042</m:t>
            </m:r>
          </m:e>
        </m:box>
      </m:oMath>
      <w:r>
        <w:t xml:space="preserve"> at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t xml:space="preserve">. In both cases </w:t>
      </w:r>
      <m:oMath>
        <m:box>
          <m:boxPr>
            <m:ctrlPr>
              <w:rPr>
                <w:rFonts w:ascii="Cambria Math" w:hAnsi="Cambria Math"/>
              </w:rPr>
            </m:ctrlPr>
          </m:boxPr>
          <m:e>
            <m:r>
              <w:rPr>
                <w:rFonts w:ascii="Cambria Math" w:hAnsi="Cambria Math"/>
              </w:rPr>
              <m:t>ξ</m:t>
            </m:r>
          </m:e>
        </m:box>
      </m:oMath>
      <w:r>
        <w:t xml:space="preserve"> itself is </w:t>
      </w:r>
      <m:oMath>
        <m:box>
          <m:boxPr>
            <m:ctrlPr>
              <w:rPr>
                <w:rFonts w:ascii="Cambria Math" w:hAnsi="Cambria Math"/>
              </w:rPr>
            </m:ctrlPr>
          </m:boxPr>
          <m:e>
            <m:r>
              <w:rPr>
                <w:rFonts w:ascii="Cambria Math" w:hAnsi="Cambria Math"/>
              </w:rPr>
              <m:t>O</m:t>
            </m:r>
            <m:r>
              <m:rPr>
                <m:sty m:val="p"/>
              </m:rPr>
              <w:rPr>
                <w:rFonts w:ascii="Cambria Math" w:hAnsi="Cambria Math"/>
              </w:rPr>
              <m:t>(1/</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r>
              <m:rPr>
                <m:sty m:val="p"/>
              </m:rPr>
              <w:rPr>
                <w:rFonts w:ascii="Cambria Math" w:hAnsi="Cambria Math"/>
              </w:rPr>
              <m:t>)</m:t>
            </m:r>
          </m:e>
        </m:box>
      </m:oMath>
      <w:r>
        <w:t xml:space="preserve"> after LayerNorm-scale embeddings, so all forty centres start on top of each other near the origin. They do not tile the LayerNorm sphere.</w:t>
      </w:r>
    </w:p>
    <w:p w14:paraId="06EC3A21" w14:textId="77777777" w:rsidR="00C93BBD" w:rsidRDefault="00000000">
      <w:r>
        <w:t xml:space="preserve">The mixture weights start uniform. On the anisotropic bank that is exact: </w:t>
      </w:r>
      <w:r>
        <w:rPr>
          <w:rFonts w:ascii="Consolas" w:hAnsi="Consolas"/>
        </w:rPr>
        <w:t>w_proj</w:t>
      </w:r>
      <w:r>
        <w:t xml:space="preserve"> is initialised with zero weight and zero bias, so the softmax logits are identically zero and each well in a bank carries mass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=1/8</m:t>
            </m:r>
          </m:e>
        </m:box>
      </m:oMath>
      <w:r>
        <w:t xml:space="preserve">. Precisions are initialised from </w:t>
      </w:r>
      <w:r>
        <w:rPr>
          <w:rFonts w:ascii="Consolas" w:hAnsi="Consolas"/>
        </w:rPr>
        <w:t>init_log_precision</w:t>
      </w:r>
      <w:r>
        <w:t xml:space="preserve"> </w:t>
      </w:r>
      <m:oMath>
        <m:box>
          <m:boxPr>
            <m:ctrlPr>
              <w:rPr>
                <w:rFonts w:ascii="Cambria Math" w:hAnsi="Cambria Math"/>
              </w:rPr>
            </m:ctrlPr>
          </m:boxPr>
          <m:e>
            <m:r>
              <m:rPr>
                <m:sty m:val="p"/>
              </m:rPr>
              <w:rPr>
                <w:rFonts w:ascii="Cambria Math" w:hAnsi="Cambria Math"/>
              </w:rPr>
              <m:t>=-log</m:t>
            </m:r>
            <m:r>
              <w:rPr>
                <w:rFonts w:ascii="Cambria Math" w:hAnsi="Cambria Math"/>
              </w:rPr>
              <m:t>d</m:t>
            </m:r>
          </m:e>
        </m:box>
      </m:oMath>
      <w:r>
        <w:t xml:space="preserve">, which gives an effective width </w:t>
      </w:r>
      <m:oMath>
        <m:box>
          <m:boxPr>
            <m:ctrlPr>
              <w:rPr>
                <w:rFonts w:ascii="Cambria Math" w:hAnsi="Cambria Math"/>
              </w:rPr>
            </m:ctrlPr>
          </m:boxPr>
          <m:e>
            <m:sSub>
              <m:sSubPr>
                <m:ctrlPr>
                  <w:rPr>
                    <w:rFonts w:ascii="Cambria Math" w:hAnsi="Cambria Math"/>
                  </w:rPr>
                </m:ctrlPr>
              </m:sSubPr>
              <m:e>
                <m:r>
                  <w:rPr>
                    <w:rFonts w:ascii="Cambria Math" w:hAnsi="Cambria Math"/>
                  </w:rPr>
                  <m:t>σ</m:t>
                </m:r>
              </m:e>
              <m:sub>
                <m:box>
                  <m:boxPr>
                    <m:ctrlPr>
                      <w:rPr>
                        <w:rFonts w:ascii="Cambria Math" w:hAnsi="Cambria Math"/>
                      </w:rPr>
                    </m:ctrlPr>
                  </m:boxPr>
                  <m:e>
                    <m:r>
                      <m:rPr>
                        <m:nor/>
                      </m:rPr>
                      <w:rPr>
                        <w:rFonts w:ascii="Cambria Math" w:hAnsi="Cambria Math"/>
                      </w:rPr>
                      <m:t>eff</m:t>
                    </m:r>
                  </m:e>
                </m:box>
              </m:sub>
            </m:sSub>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xml:space="preserve">. On a LayerNorm sphere of radius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xml:space="preserve"> that is a stack of </w:t>
      </w:r>
      <w:r>
        <w:rPr>
          <w:b/>
        </w:rPr>
        <w:t>wide, overlapping bowls</w:t>
      </w:r>
      <w:r>
        <w:t xml:space="preserve"> around the origin, not forty separated basins. Saying that “forty attractors exist from step 0” is a statement about the </w:t>
      </w:r>
      <w:r>
        <w:rPr>
          <w:b/>
        </w:rPr>
        <w:t>parameterisation</w:t>
      </w:r>
      <w:r>
        <w:t xml:space="preserve"> — there are forty Gaussian terms in the formula — not about geometry. Distinct centres have to be learned as the maps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m</m:t>
                </m:r>
              </m:sub>
            </m:sSub>
          </m:e>
        </m:box>
      </m:oMath>
      <w:r>
        <w:t xml:space="preserve"> and the depth codes move.</w:t>
      </w:r>
    </w:p>
    <w:p w14:paraId="2F7EB91D" w14:textId="77777777" w:rsidR="00C93BBD" w:rsidRDefault="00000000">
      <w:r>
        <w:t xml:space="preserve">They are in particular </w:t>
      </w:r>
      <w:r>
        <w:rPr>
          <w:b/>
        </w:rPr>
        <w:t>not</w:t>
      </w:r>
      <w:r>
        <w:t xml:space="preserve"> initialised to random points on the LayerNorm sphere, to vocabulary or embedding prototypes, to a </w:t>
      </w:r>
      <m:oMath>
        <m:box>
          <m:boxPr>
            <m:ctrlPr>
              <w:rPr>
                <w:rFonts w:ascii="Cambria Math" w:hAnsi="Cambria Math"/>
              </w:rPr>
            </m:ctrlPr>
          </m:boxPr>
          <m:e>
            <m:r>
              <w:rPr>
                <w:rFonts w:ascii="Cambria Math" w:hAnsi="Cambria Math"/>
              </w:rPr>
              <m:t>k</m:t>
            </m:r>
          </m:e>
        </m:box>
      </m:oMath>
      <w:r>
        <w:t xml:space="preserve">-means of hidden states, or to SARF PMI-peak anchors. A direct check is to call </w:t>
      </w:r>
      <w:r>
        <w:rPr>
          <w:rFonts w:ascii="Consolas" w:hAnsi="Consolas"/>
        </w:rPr>
        <w:t>V_theta.attractor_centres(xis)</w:t>
      </w:r>
      <w:r>
        <w:t xml:space="preserve"> on the first training batch, before </w:t>
      </w:r>
      <w:r>
        <w:rPr>
          <w:rFonts w:ascii="Consolas" w:hAnsi="Consolas"/>
        </w:rPr>
        <w:t>optimizer.step()</w:t>
      </w:r>
      <w:r>
        <w:t xml:space="preserve">. One should see forty vectors with Euclidean norms much smaller than 1 and pairwise distances much smaller than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all clustered at the origin.</w:t>
      </w:r>
    </w:p>
    <w:p w14:paraId="2B905F0F" w14:textId="77777777" w:rsidR="00C93BBD" w:rsidRDefault="00C93BBD" w:rsidP="00F05F79"/>
    <w:p w14:paraId="5C9B8DE7" w14:textId="77777777" w:rsidR="00E56717" w:rsidRDefault="00000000">
      <w:pPr>
        <w:pStyle w:val="Heading2"/>
      </w:pPr>
      <w:bookmarkStart w:id="52" w:name="_Toc240119400"/>
      <w:r>
        <w:t>Analytic Multi-Channel Integration: a Ladder of Couplings</w:t>
      </w:r>
      <w:bookmarkEnd w:id="52"/>
    </w:p>
    <w:p w14:paraId="569FAD62" w14:textId="77777777" w:rsidR="00E56717" w:rsidRDefault="00000000">
      <w:r>
        <w:t>The additive multi-context design just described gives each channel its own well bank and sums the per-channel potentials:</w:t>
      </w:r>
    </w:p>
    <w:p w14:paraId="46CB79F8" w14:textId="77777777" w:rsidR="00E56717" w:rsidRDefault="00000000">
      <m:oMathPara>
        <m:oMathParaPr>
          <m:jc m:val="center"/>
        </m:oMathParaPr>
        <m:oMath>
          <m:sSup>
            <m:sSupPr>
              <m:ctrlPr>
                <w:rPr>
                  <w:rFonts w:ascii="Cambria Math" w:hAnsi="Cambria Math"/>
                </w:rPr>
              </m:ctrlPr>
            </m:sSupPr>
            <m:e>
              <m:r>
                <w:rPr>
                  <w:rFonts w:ascii="Cambria Math" w:hAnsi="Cambria Math"/>
                </w:rPr>
                <m:t>V</m:t>
              </m:r>
            </m:e>
            <m:sup>
              <m:r>
                <m:rPr>
                  <m:nor/>
                </m:rPr>
                <m:t>add</m:t>
              </m:r>
            </m:sup>
          </m:sSup>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c</m:t>
                  </m:r>
                </m:sub>
              </m:sSub>
            </m:sup>
            <m:e>
              <m:sSup>
                <m:sSupPr>
                  <m:ctrlPr>
                    <w:rPr>
                      <w:rFonts w:ascii="Cambria Math" w:hAnsi="Cambria Math"/>
                    </w:rPr>
                  </m:ctrlPr>
                </m:sSupPr>
                <m:e>
                  <m:r>
                    <w:rPr>
                      <w:rFonts w:ascii="Cambria Math" w:hAnsi="Cambria Math"/>
                    </w:rPr>
                    <m:t>V</m:t>
                  </m:r>
                </m:e>
                <m:sup>
                  <m:r>
                    <m:rPr>
                      <m:sty m:val="p"/>
                    </m:rPr>
                    <w:rPr>
                      <w:rFonts w:ascii="Cambria Math" w:hAnsi="Cambria Math"/>
                    </w:rPr>
                    <m:t>(</m:t>
                  </m:r>
                  <m:r>
                    <w:rPr>
                      <w:rFonts w:ascii="Cambria Math" w:hAnsi="Cambria Math"/>
                    </w:rPr>
                    <m:t>m</m:t>
                  </m:r>
                  <m:r>
                    <m:rPr>
                      <m:sty m:val="p"/>
                    </m:rPr>
                    <w:rPr>
                      <w:rFonts w:ascii="Cambria Math" w:hAnsi="Cambria Math"/>
                    </w:rPr>
                    <m:t>)</m:t>
                  </m:r>
                </m:sup>
              </m:sSup>
            </m:e>
          </m:nary>
          <m:d>
            <m:dPr>
              <m:ctrlPr>
                <w:rPr>
                  <w:rFonts w:ascii="Cambria Math" w:hAnsi="Cambria Math"/>
                </w:rPr>
              </m:ctrlPr>
            </m:dPr>
            <m:e>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V</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w</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e>
          </m:d>
          <m:r>
            <m:rPr>
              <m:sty m:val="p"/>
            </m:rPr>
            <w:rPr>
              <w:rFonts w:ascii="Cambria Math" w:hAnsi="Cambria Math"/>
            </w:rPr>
            <m:t>.</m:t>
          </m:r>
        </m:oMath>
      </m:oMathPara>
    </w:p>
    <w:p w14:paraId="0712F21E" w14:textId="77777777" w:rsidR="00E56717" w:rsidRDefault="00000000">
      <w:r>
        <w:t xml:space="preserve">Because the channel sum sits outside the exponent, this is a mixture: the potential is attracted to a match on channel 1 </w:t>
      </w:r>
      <w:r>
        <w:rPr>
          <w:i/>
          <w:iCs/>
        </w:rPr>
        <w:t>or</w:t>
      </w:r>
      <w:r>
        <w:t xml:space="preserve"> channel 2 </w:t>
      </w:r>
      <w:r>
        <w:rPr>
          <w:i/>
          <w:iCs/>
        </w:rPr>
        <w:t>or</w:t>
      </w:r>
      <w:r>
        <w:t xml:space="preserve"> … Its Hessian in the concatenated channel input </w:t>
      </w:r>
      <m:oMath>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up>
        </m:sSup>
        <m:r>
          <m:rPr>
            <m:sty m:val="p"/>
          </m:rPr>
          <w:rPr>
            <w:rFonts w:ascii="Cambria Math" w:hAnsi="Cambria Math"/>
          </w:rPr>
          <m:t>]</m:t>
        </m:r>
      </m:oMath>
      <w:r>
        <w:t xml:space="preserve"> is block-diagonal — every cross-horizon second derivative </w:t>
      </w:r>
      <m:oMath>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j</m:t>
            </m:r>
            <m:r>
              <m:rPr>
                <m:sty m:val="p"/>
              </m:rPr>
              <w:rPr>
                <w:rFonts w:ascii="Cambria Math" w:hAnsi="Cambria Math"/>
              </w:rPr>
              <m:t>)</m:t>
            </m:r>
          </m:sup>
        </m:sSup>
      </m:oMath>
      <w:r>
        <w:t xml:space="preserve"> with </w:t>
      </w:r>
      <m:oMath>
        <m:r>
          <w:rPr>
            <w:rFonts w:ascii="Cambria Math" w:hAnsi="Cambria Math"/>
          </w:rPr>
          <m:t>i</m:t>
        </m:r>
        <m:r>
          <m:rPr>
            <m:sty m:val="p"/>
          </m:rPr>
          <w:rPr>
            <w:rFonts w:ascii="Cambria Math" w:hAnsi="Cambria Math"/>
          </w:rPr>
          <m:t>≠</m:t>
        </m:r>
        <m:r>
          <w:rPr>
            <w:rFonts w:ascii="Cambria Math" w:hAnsi="Cambria Math"/>
          </w:rPr>
          <m:t>j</m:t>
        </m:r>
      </m:oMath>
      <w:r>
        <w:t xml:space="preserve"> is exactly zero. No amount of extra channels can build a feature that fires only when several horizons agree.</w:t>
      </w:r>
    </w:p>
    <w:p w14:paraId="7CDF2643" w14:textId="77777777" w:rsidR="00E56717" w:rsidRDefault="00000000">
      <w:pPr>
        <w:pStyle w:val="Heading3"/>
      </w:pPr>
      <w:bookmarkStart w:id="53" w:name="_Toc240119401"/>
      <w:r>
        <w:t>The analyticity hinge</w:t>
      </w:r>
      <w:bookmarkEnd w:id="53"/>
    </w:p>
    <w:p w14:paraId="17CBCF7B" w14:textId="77777777" w:rsidR="00E56717" w:rsidRDefault="00000000">
      <w:r>
        <w:t xml:space="preserve">Everything that makes the structured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tractable — a closed-form force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V</m:t>
        </m:r>
      </m:oMath>
      <w:r>
        <w:t xml:space="preserve">, a closed-form Hessian, and the CfC-BAOAB harmonic split of the section above — follows from one fact: the well parameters are projections of </w:t>
      </w:r>
      <m:oMath>
        <m:r>
          <w:rPr>
            <w:rFonts w:ascii="Cambria Math" w:hAnsi="Cambria Math"/>
          </w:rPr>
          <m:t>ξ</m:t>
        </m:r>
      </m:oMath>
      <w:r>
        <w:t xml:space="preserve"> </w:t>
      </w:r>
      <w:r>
        <w:rPr>
          <w:i/>
          <w:iCs/>
        </w:rPr>
        <w:t>only</w:t>
      </w:r>
      <w:r>
        <w:t xml:space="preserve">, never of </w:t>
      </w:r>
      <m:oMath>
        <m:r>
          <w:rPr>
            <w:rFonts w:ascii="Cambria Math" w:hAnsi="Cambria Math"/>
          </w:rPr>
          <m:t>h</m:t>
        </m:r>
      </m:oMath>
      <w:r>
        <w:t xml:space="preserve">. That is the entire content of _components(self, xi) in every bank implementation described so far: mu, a, w, and B are each computed from xi alone. So the potential is exactly Gaussian in </w:t>
      </w:r>
      <m:oMath>
        <m:r>
          <w:rPr>
            <w:rFonts w:ascii="Cambria Math" w:hAnsi="Cambria Math"/>
          </w:rPr>
          <m:t>h</m:t>
        </m:r>
      </m:oMath>
      <w:r>
        <w:t xml:space="preserve"> regardless of how those parameters were computed from </w:t>
      </w:r>
      <m:oMath>
        <m:r>
          <w:rPr>
            <w:rFonts w:ascii="Cambria Math" w:hAnsi="Cambria Math"/>
          </w:rPr>
          <m:t>ξ</m:t>
        </m:r>
      </m:oMath>
      <w:r>
        <w:t xml:space="preserve"> — they may be arbitrary joint functions of all channels: a shared projection, a bilinear form, an MLP, a product-of-experts fusion. The additive design simply chose the most restrictive such function, one channel per bank. What follows is a ladder of less restrictive choices, each of which keeps the well parameters </w:t>
      </w:r>
      <m:oMath>
        <m:r>
          <w:rPr>
            <w:rFonts w:ascii="Cambria Math" w:hAnsi="Cambria Math"/>
          </w:rPr>
          <m:t>h</m:t>
        </m:r>
      </m:oMath>
      <w:r>
        <w:t>-independent and therefore keeps the analytic force and the CfC-BAOAB split.</w:t>
      </w:r>
    </w:p>
    <w:p w14:paraId="00E34DF8" w14:textId="77777777" w:rsidR="00E56717" w:rsidRDefault="00000000">
      <w:r>
        <w:rPr>
          <w:b/>
          <w:bCs/>
        </w:rPr>
        <w:t>(A) Joint projection — a single bank over the concatenated channels.</w:t>
      </w:r>
      <w:r>
        <w:t xml:space="preserve"> Replace </w:t>
      </w:r>
      <m:oMath>
        <m:sSub>
          <m:sSubPr>
            <m:ctrlPr>
              <w:rPr>
                <w:rFonts w:ascii="Cambria Math" w:hAnsi="Cambria Math"/>
              </w:rPr>
            </m:ctrlPr>
          </m:sSubPr>
          <m:e>
            <m:r>
              <w:rPr>
                <w:rFonts w:ascii="Cambria Math" w:hAnsi="Cambria Math"/>
              </w:rPr>
              <m:t>n</m:t>
            </m:r>
          </m:e>
          <m:sub>
            <m:r>
              <w:rPr>
                <w:rFonts w:ascii="Cambria Math" w:hAnsi="Cambria Math"/>
              </w:rPr>
              <m:t>c</m:t>
            </m:r>
          </m:sub>
        </m:sSub>
      </m:oMath>
      <w:r>
        <w:t xml:space="preserve"> per-channel banks with one bank whose projections read </w:t>
      </w:r>
      <m:oMath>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d</m:t>
            </m:r>
          </m:sup>
        </m:sSup>
      </m:oMath>
      <w:r>
        <w:t>:</w:t>
      </w:r>
    </w:p>
    <w:p w14:paraId="2B32E3FC" w14:textId="77777777" w:rsidR="00E56717" w:rsidRDefault="00000000">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m:rPr>
              <m:nor/>
            </m:rPr>
            <m:t>proj</m:t>
          </m:r>
          <m:d>
            <m:dPr>
              <m:ctrlPr>
                <w:rPr>
                  <w:rFonts w:ascii="Cambria Math" w:hAnsi="Cambria Math"/>
                </w:rPr>
              </m:ctrlPr>
            </m:dPr>
            <m:e>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up>
              </m:sSup>
            </m:e>
          </m:d>
          <m:r>
            <m:rPr>
              <m:sty m:val="p"/>
            </m:rPr>
            <w:rPr>
              <w:rFonts w:ascii="Cambria Math" w:hAnsi="Cambria Math"/>
            </w:rPr>
            <m:t>.</m:t>
          </m:r>
        </m:oMath>
      </m:oMathPara>
    </w:p>
    <w:p w14:paraId="5A60F990" w14:textId="77777777" w:rsidR="00E56717" w:rsidRDefault="00000000">
      <w:r>
        <w:t>Every well’s centre, precision, and weight now depends on all horizons jointly; the additive design is a strict special case, so expressivity only rises. This is the option implemented in production as JointContextAnisotropicGaussianVTheta, discussed below.</w:t>
      </w:r>
    </w:p>
    <w:p w14:paraId="5552E570" w14:textId="77777777" w:rsidR="00E56717" w:rsidRDefault="00000000">
      <w:r>
        <w:rPr>
          <w:b/>
          <w:bCs/>
        </w:rPr>
        <w:t>(B) Conjunctive gating.</w:t>
      </w:r>
      <w:r>
        <w:t xml:space="preserve"> Make the (</w:t>
      </w:r>
      <m:oMath>
        <m:r>
          <w:rPr>
            <w:rFonts w:ascii="Cambria Math" w:hAnsi="Cambria Math"/>
          </w:rPr>
          <m:t>h</m:t>
        </m:r>
      </m:oMath>
      <w:r>
        <w:t xml:space="preserve">-independent) weight a joint gate, </w:t>
      </w:r>
      <m:oMath>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r>
              <w:rPr>
                <w:rFonts w:ascii="Cambria Math" w:hAnsi="Cambria Math"/>
              </w:rPr>
              <m:t>σ</m:t>
            </m:r>
          </m:e>
        </m:nary>
        <m:d>
          <m:dPr>
            <m:ctrlPr>
              <w:rPr>
                <w:rFonts w:ascii="Cambria Math" w:hAnsi="Cambria Math"/>
              </w:rPr>
            </m:ctrlPr>
          </m:dPr>
          <m:e>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e>
        </m:d>
      </m:oMath>
      <w:r>
        <w:t xml:space="preserve">. Since </w:t>
      </w:r>
      <m:oMath>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multiplies the whole bump, a well fires only when its centre matches </w:t>
      </w:r>
      <m:oMath>
        <m:r>
          <w:rPr>
            <w:rFonts w:ascii="Cambria Math" w:hAnsi="Cambria Math"/>
          </w:rPr>
          <m:t>h</m:t>
        </m:r>
      </m:oMath>
      <w:r>
        <w:t xml:space="preserve"> </w:t>
      </w:r>
      <w:r>
        <w:rPr>
          <w:i/>
          <w:iCs/>
        </w:rPr>
        <w:t>and</w:t>
      </w:r>
      <w:r>
        <w:t xml:space="preserve"> the gate is on — an AND across horizons.</w:t>
      </w:r>
    </w:p>
    <w:p w14:paraId="6838CCDB" w14:textId="77777777" w:rsidR="00E56717" w:rsidRDefault="00000000">
      <w:r>
        <w:rPr>
          <w:b/>
          <w:bCs/>
        </w:rPr>
        <w:lastRenderedPageBreak/>
        <w:t>(C) Product-of-experts fusion.</w:t>
      </w:r>
      <w:r>
        <w:t xml:space="preserve"> Move the channel sum </w:t>
      </w:r>
      <w:r>
        <w:rPr>
          <w:i/>
          <w:iCs/>
        </w:rPr>
        <w:t>inside</w:t>
      </w:r>
      <w:r>
        <w:t xml:space="preserve"> the exponent by multiplying the per-channel Gaussian factors. A product of Gaussians is a Gaussian, so this collapses to a single well analytically, developed next.</w:t>
      </w:r>
    </w:p>
    <w:p w14:paraId="6617DF39" w14:textId="77777777" w:rsidR="00E56717" w:rsidRDefault="00000000">
      <w:r>
        <w:rPr>
          <w:b/>
          <w:bCs/>
        </w:rPr>
        <w:t>(D) Bilinear coupling.</w:t>
      </w:r>
      <w:r>
        <w:t xml:space="preserve"> Let </w:t>
      </w:r>
      <m:oMath>
        <m:sSub>
          <m:sSubPr>
            <m:ctrlPr>
              <w:rPr>
                <w:rFonts w:ascii="Cambria Math" w:hAnsi="Cambria Math"/>
              </w:rPr>
            </m:ctrlPr>
          </m:sSubPr>
          <m:e>
            <m:r>
              <w:rPr>
                <w:rFonts w:ascii="Cambria Math" w:hAnsi="Cambria Math"/>
              </w:rPr>
              <m:t>μ</m:t>
            </m:r>
          </m:e>
          <m:sub>
            <m:r>
              <w:rPr>
                <w:rFonts w:ascii="Cambria Math" w:hAnsi="Cambria Math"/>
              </w:rPr>
              <m:t>k</m:t>
            </m:r>
          </m:sub>
        </m:sSub>
      </m:oMath>
      <w:r>
        <w:t xml:space="preserve"> or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depend on cross-features such as </w:t>
      </w:r>
      <m:oMath>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j</m:t>
            </m:r>
            <m:r>
              <m:rPr>
                <m:sty m:val="p"/>
              </m:rPr>
              <w:rPr>
                <w:rFonts w:ascii="Cambria Math" w:hAnsi="Cambria Math"/>
              </w:rPr>
              <m:t>)</m:t>
            </m:r>
          </m:sup>
        </m:sSup>
      </m:oMath>
      <w:r>
        <w:t xml:space="preserve"> (Hadamard) or a low-rank bilinear map — the cheapest way to inject a specific conjunction into where a well sits.</w:t>
      </w:r>
    </w:p>
    <w:p w14:paraId="3CDB7C9A" w14:textId="77777777" w:rsidR="00E56717" w:rsidRDefault="00000000">
      <w:r>
        <w:rPr>
          <w:b/>
          <w:bCs/>
        </w:rPr>
        <w:t>(E) Analytic marginalisation.</w:t>
      </w:r>
      <w:r>
        <w:t xml:space="preserve"> If “integrate” is meant literally, put a channel-informed Gaussian prior on the centre and integrate it out; a convolution of Gaussians stays Gaussian:</w:t>
      </w:r>
    </w:p>
    <w:p w14:paraId="4B47F331" w14:textId="77777777" w:rsidR="00E56717" w:rsidRDefault="00000000">
      <m:oMathPara>
        <m:oMathParaPr>
          <m:jc m:val="center"/>
        </m:oMathParaPr>
        <m:oMath>
          <m:r>
            <m:rPr>
              <m:scr m:val="script"/>
              <m:sty m:val="p"/>
            </m:rPr>
            <w:rPr>
              <w:rFonts w:ascii="Cambria Math" w:hAnsi="Cambria Math"/>
            </w:rPr>
            <m:t>∫N(</m:t>
          </m:r>
          <m:r>
            <w:rPr>
              <w:rFonts w:ascii="Cambria Math" w:hAnsi="Cambria Math"/>
            </w:rPr>
            <m:t>h</m:t>
          </m:r>
          <m:r>
            <m:rPr>
              <m:sty m:val="p"/>
            </m:rPr>
            <w:rPr>
              <w:rFonts w:ascii="Cambria Math" w:hAnsi="Cambria Math"/>
            </w:rPr>
            <m:t>;</m:t>
          </m:r>
          <m:r>
            <w:rPr>
              <w:rFonts w:ascii="Cambria Math" w:hAnsi="Cambria Math"/>
            </w:rPr>
            <m:t>μ</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 </m:t>
          </m:r>
          <m:r>
            <m:rPr>
              <m:scr m:val="script"/>
              <m:sty m:val="p"/>
            </m:rPr>
            <w:rPr>
              <w:rFonts w:ascii="Cambria Math" w:hAnsi="Cambria Math"/>
            </w:rPr>
            <m:t>N</m:t>
          </m:r>
          <m:d>
            <m:dPr>
              <m:ctrlPr>
                <w:rPr>
                  <w:rFonts w:ascii="Cambria Math" w:hAnsi="Cambria Math"/>
                </w:rPr>
              </m:ctrlPr>
            </m:dPr>
            <m:e>
              <m:r>
                <w:rPr>
                  <w:rFonts w:ascii="Cambria Math" w:hAnsi="Cambria Math"/>
                </w:rPr>
                <m:t>μ</m:t>
              </m:r>
              <m:r>
                <m:rPr>
                  <m:sty m:val="p"/>
                </m:rPr>
                <w:rPr>
                  <w:rFonts w:ascii="Cambria Math" w:hAnsi="Cambria Math"/>
                </w:rPr>
                <m:t>;</m:t>
              </m:r>
              <m:acc>
                <m:accPr>
                  <m:chr m:val="‾"/>
                  <m:ctrlPr>
                    <w:rPr>
                      <w:rFonts w:ascii="Cambria Math" w:hAnsi="Cambria Math"/>
                    </w:rPr>
                  </m:ctrlPr>
                </m:accPr>
                <m:e>
                  <m:r>
                    <w:rPr>
                      <w:rFonts w:ascii="Cambria Math" w:hAnsi="Cambria Math"/>
                    </w:rPr>
                    <m:t>m</m:t>
                  </m:r>
                </m:e>
              </m:acc>
              <m:r>
                <m:rPr>
                  <m:sty m:val="p"/>
                </m:rPr>
                <w:rPr>
                  <w:rFonts w:ascii="Cambria Math" w:hAnsi="Cambria Math"/>
                </w:rPr>
                <m:t>(</m:t>
              </m:r>
              <m:r>
                <w:rPr>
                  <w:rFonts w:ascii="Cambria Math" w:hAnsi="Cambria Math"/>
                </w:rPr>
                <m:t>ξ</m:t>
              </m:r>
              <m:r>
                <m:rPr>
                  <m:sty m:val="p"/>
                </m:rPr>
                <w:rPr>
                  <w:rFonts w:ascii="Cambria Math" w:hAnsi="Cambria Math"/>
                </w:rPr>
                <m:t>),Λ(</m:t>
              </m:r>
              <m:r>
                <w:rPr>
                  <w:rFonts w:ascii="Cambria Math" w:hAnsi="Cambria Math"/>
                </w:rPr>
                <m:t>ξ</m:t>
              </m:r>
              <m:r>
                <m:rPr>
                  <m:sty m:val="p"/>
                </m:rPr>
                <w:rPr>
                  <w:rFonts w:ascii="Cambria Math" w:hAnsi="Cambria Math"/>
                </w:rPr>
                <m:t>)</m:t>
              </m:r>
            </m:e>
          </m:d>
          <m:r>
            <w:rPr>
              <w:rFonts w:ascii="Cambria Math" w:hAnsi="Cambria Math"/>
            </w:rPr>
            <m:t> </m:t>
          </m:r>
          <m:r>
            <m:rPr>
              <m:sty m:val="p"/>
            </m:rPr>
            <w:rPr>
              <w:rFonts w:ascii="Cambria Math" w:hAnsi="Cambria Math"/>
            </w:rPr>
            <m:t>d</m:t>
          </m:r>
          <m:r>
            <w:rPr>
              <w:rFonts w:ascii="Cambria Math" w:hAnsi="Cambria Math"/>
            </w:rPr>
            <m:t>μ</m:t>
          </m:r>
          <m:r>
            <m:rPr>
              <m:scr m:val="script"/>
              <m:sty m:val="p"/>
            </m:rPr>
            <w:rPr>
              <w:rFonts w:ascii="Cambria Math" w:hAnsi="Cambria Math"/>
            </w:rPr>
            <m:t>=N</m:t>
          </m:r>
          <m:d>
            <m:dPr>
              <m:ctrlPr>
                <w:rPr>
                  <w:rFonts w:ascii="Cambria Math" w:hAnsi="Cambria Math"/>
                </w:rPr>
              </m:ctrlPr>
            </m:dPr>
            <m:e>
              <m:r>
                <w:rPr>
                  <w:rFonts w:ascii="Cambria Math" w:hAnsi="Cambria Math"/>
                </w:rPr>
                <m:t>h</m:t>
              </m:r>
              <m:r>
                <m:rPr>
                  <m:sty m:val="p"/>
                </m:rPr>
                <w:rPr>
                  <w:rFonts w:ascii="Cambria Math" w:hAnsi="Cambria Math"/>
                </w:rPr>
                <m:t>;</m:t>
              </m:r>
              <m:acc>
                <m:accPr>
                  <m:chr m:val="‾"/>
                  <m:ctrlPr>
                    <w:rPr>
                      <w:rFonts w:ascii="Cambria Math" w:hAnsi="Cambria Math"/>
                    </w:rPr>
                  </m:ctrlPr>
                </m:accPr>
                <m:e>
                  <m:r>
                    <w:rPr>
                      <w:rFonts w:ascii="Cambria Math" w:hAnsi="Cambria Math"/>
                    </w:rPr>
                    <m:t>m</m:t>
                  </m:r>
                </m:e>
              </m:acc>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r>
                    <w:rPr>
                      <w:rFonts w:ascii="Cambria Math" w:hAnsi="Cambria Math"/>
                    </w:rPr>
                    <m:t>1</m:t>
                  </m:r>
                </m:sup>
              </m:sSup>
              <m:r>
                <m:rPr>
                  <m:sty m:val="p"/>
                </m:rPr>
                <w:rPr>
                  <w:rFonts w:ascii="Cambria Math" w:hAnsi="Cambria Math"/>
                </w:rPr>
                <m:t>+Λ</m:t>
              </m:r>
            </m:e>
          </m:d>
          <m:r>
            <m:rPr>
              <m:sty m:val="p"/>
            </m:rPr>
            <w:rPr>
              <w:rFonts w:ascii="Cambria Math" w:hAnsi="Cambria Math"/>
            </w:rPr>
            <m:t>.</m:t>
          </m:r>
        </m:oMath>
      </m:oMathPara>
    </w:p>
    <w:p w14:paraId="22497113" w14:textId="77777777" w:rsidR="00E56717" w:rsidRDefault="00000000">
      <w:pPr>
        <w:pStyle w:val="Heading3"/>
      </w:pPr>
      <w:bookmarkStart w:id="54" w:name="_Toc240119402"/>
      <w:r>
        <w:t>Product-of-experts fusion in closed form</w:t>
      </w:r>
      <w:bookmarkEnd w:id="54"/>
    </w:p>
    <w:p w14:paraId="7683AA4F" w14:textId="77777777" w:rsidR="00E56717" w:rsidRDefault="00000000">
      <w:r>
        <w:t xml:space="preserve">Option (C) is worth deriving explicitly, since it shows quantitatively what “conjunction” means. For a fused well </w:t>
      </w:r>
      <m:oMath>
        <m:r>
          <w:rPr>
            <w:rFonts w:ascii="Cambria Math" w:hAnsi="Cambria Math"/>
          </w:rPr>
          <m:t>k</m:t>
        </m:r>
      </m:oMath>
      <w:r>
        <w:t xml:space="preserve">, let each channel </w:t>
      </w:r>
      <m:oMath>
        <m:r>
          <w:rPr>
            <w:rFonts w:ascii="Cambria Math" w:hAnsi="Cambria Math"/>
          </w:rPr>
          <m:t>m</m:t>
        </m:r>
      </m:oMath>
      <w:r>
        <w:t xml:space="preserve"> propose a Gaussian factor with centre </w:t>
      </w:r>
      <m:oMath>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oMath>
      <w:r>
        <w:t xml:space="preserve"> and precision </w:t>
      </w: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oMath>
      <w:r>
        <w:t>. Multiplying the factors adds their exponents:</w:t>
      </w:r>
    </w:p>
    <w:p w14:paraId="342992AF" w14:textId="77777777" w:rsidR="00E56717" w:rsidRDefault="00000000">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c</m:t>
                  </m:r>
                </m:sub>
              </m:sSub>
            </m:sup>
            <m:e>
              <m:r>
                <m:rPr>
                  <m:sty m:val="p"/>
                </m:rPr>
                <w:rPr>
                  <w:rFonts w:ascii="Cambria Math" w:hAnsi="Cambria Math"/>
                </w:rPr>
                <m:t>(</m:t>
              </m:r>
            </m:e>
          </m:nary>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oMath>
      </m:oMathPara>
    </w:p>
    <w:p w14:paraId="39ED1253" w14:textId="77777777" w:rsidR="00E56717" w:rsidRDefault="00000000">
      <w:r>
        <w:t>Completing the square collapses this to a single anisotropic Gaussian. With</w:t>
      </w:r>
    </w:p>
    <w:p w14:paraId="56E4D052" w14:textId="77777777" w:rsidR="00E56717" w:rsidRDefault="00000000">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1</m:t>
              </m:r>
            </m:sup>
          </m:sSubSup>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sSub>
            <m:sSubPr>
              <m:ctrlPr>
                <w:rPr>
                  <w:rFonts w:ascii="Cambria Math" w:hAnsi="Cambria Math"/>
                </w:rPr>
              </m:ctrlPr>
            </m:sSubPr>
            <m:e>
              <m:r>
                <w:rPr>
                  <w:rFonts w:ascii="Cambria Math" w:hAnsi="Cambria Math"/>
                </w:rPr>
                <m:t>P</m:t>
              </m:r>
            </m:e>
            <m:sub>
              <m:r>
                <w:rPr>
                  <w:rFonts w:ascii="Cambria Math" w:hAnsi="Cambria Math"/>
                </w:rPr>
                <m:t>k</m:t>
              </m:r>
            </m:sub>
          </m:sSub>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m:oMathPara>
    </w:p>
    <w:p w14:paraId="2318AF49" w14:textId="77777777" w:rsidR="00E56717" w:rsidRDefault="00000000">
      <w:r>
        <w:t>the fused energy and potential are</w:t>
      </w:r>
    </w:p>
    <w:p w14:paraId="050940AA" w14:textId="77777777" w:rsidR="00E56717" w:rsidRDefault="00000000">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V</m:t>
              </m:r>
            </m:e>
            <m:sup>
              <m:r>
                <m:rPr>
                  <m:nor/>
                </m:rPr>
                <m:t>fuse</m:t>
              </m:r>
            </m:sup>
          </m:sSup>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w</m:t>
                  </m:r>
                </m:e>
                <m:sub>
                  <m:r>
                    <w:rPr>
                      <w:rFonts w:ascii="Cambria Math" w:hAnsi="Cambria Math"/>
                    </w:rPr>
                    <m:t>k</m:t>
                  </m:r>
                </m:sub>
                <m:sup>
                  <m:r>
                    <m:rPr>
                      <m:sty m:val="p"/>
                    </m:rPr>
                    <w:rPr>
                      <w:rFonts w:ascii="Cambria Math" w:hAnsi="Cambria Math"/>
                    </w:rPr>
                    <m:t>⋆</m:t>
                  </m:r>
                </m:sup>
              </m:sSubSup>
            </m:e>
          </m:nary>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e>
          </m:d>
          <m:r>
            <m:rPr>
              <m:sty m:val="p"/>
            </m:rPr>
            <w:rPr>
              <w:rFonts w:ascii="Cambria Math" w:hAnsi="Cambria Math"/>
            </w:rPr>
            <m:t>,</m:t>
          </m:r>
        </m:oMath>
      </m:oMathPara>
    </w:p>
    <w:p w14:paraId="4F0275A0" w14:textId="77777777" w:rsidR="00E56717" w:rsidRDefault="00000000">
      <w:r>
        <w:t xml:space="preserve">with </w:t>
      </w:r>
      <m:oMath>
        <m:sSubSup>
          <m:sSubSupPr>
            <m:ctrlPr>
              <w:rPr>
                <w:rFonts w:ascii="Cambria Math" w:hAnsi="Cambria Math"/>
              </w:rPr>
            </m:ctrlPr>
          </m:sSubSupPr>
          <m:e>
            <m:r>
              <w:rPr>
                <w:rFonts w:ascii="Cambria Math" w:hAnsi="Cambria Math"/>
              </w:rPr>
              <m:t>w</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exp(-</m:t>
        </m:r>
        <m:f>
          <m:fPr>
            <m:type m:val="lin"/>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oMath>
      <w:r>
        <w:t xml:space="preserve">. Fusing channels by product therefore yields one well whose centre is the precision-weighted (Bayesian) fusion of the channel centres and whose precision is the sum of the channel precisions. The constant </w:t>
      </w:r>
      <m:oMath>
        <m:sSub>
          <m:sSubPr>
            <m:ctrlPr>
              <w:rPr>
                <w:rFonts w:ascii="Cambria Math" w:hAnsi="Cambria Math"/>
              </w:rPr>
            </m:ctrlPr>
          </m:sSubPr>
          <m:e>
            <m:r>
              <w:rPr>
                <w:rFonts w:ascii="Cambria Math" w:hAnsi="Cambria Math"/>
              </w:rPr>
              <m:t>c</m:t>
            </m:r>
          </m:e>
          <m:sub>
            <m:r>
              <w:rPr>
                <w:rFonts w:ascii="Cambria Math" w:hAnsi="Cambria Math"/>
              </w:rPr>
              <m:t>k</m:t>
            </m:r>
          </m:sub>
        </m:sSub>
      </m:oMath>
      <w:r>
        <w:t>, which grows when the channels disagree, folds into the weight — so a fused well is strong only where the horizons agree, which is exactly the semantics of conjunction.</w:t>
      </w:r>
    </w:p>
    <w:p w14:paraId="2C6759FC" w14:textId="77777777" w:rsidR="00E56717" w:rsidRDefault="00000000">
      <w:r>
        <w:rPr>
          <w:b/>
          <w:bCs/>
        </w:rPr>
        <w:t>Cost note.</w:t>
      </w:r>
      <w:r>
        <w:t xml:space="preserve"> Exact fusion (C) needs </w:t>
      </w: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1</m:t>
            </m:r>
          </m:sup>
        </m:sSubSup>
      </m:oMath>
      <w:r>
        <w:t xml:space="preserve"> per well per token — tractable via Woodbury since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=diag+</m:t>
        </m:r>
        <m:r>
          <m:rPr>
            <m:nor/>
          </m:rPr>
          <m:t>low-rank</m:t>
        </m:r>
      </m:oMath>
      <w:r>
        <w:t xml:space="preserve">, but not free — and the fused low-rank factor has rank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r</m:t>
        </m:r>
      </m:oMath>
      <w:r>
        <w:t>. Option (A) reaches the same expressive class, a single anisotropic Gaussian whose parameters depend jointly on all channels, without the inverse and with a lighter rank-</w:t>
      </w:r>
      <m:oMath>
        <m:r>
          <w:rPr>
            <w:rFonts w:ascii="Cambria Math" w:hAnsi="Cambria Math"/>
          </w:rPr>
          <m:t>r</m:t>
        </m:r>
      </m:oMath>
      <w:r>
        <w:t xml:space="preserve"> factor, simply by </w:t>
      </w:r>
      <w:r>
        <w:rPr>
          <w:i/>
          <w:iCs/>
        </w:rPr>
        <w:t>learning</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w:r>
        <w:t xml:space="preserve"> from the concatenated context. That is why the production prototype implements (A): (C) is the principled explanation, (A) is the cheap realisation.</w:t>
      </w:r>
    </w:p>
    <w:p w14:paraId="13F3F0BE" w14:textId="77777777" w:rsidR="00E56717" w:rsidRDefault="00000000">
      <w:pPr>
        <w:pStyle w:val="Heading3"/>
      </w:pPr>
      <w:bookmarkStart w:id="55" w:name="_Toc240119403"/>
      <w:r>
        <w:t>The catch: fusion concentrates curvature</w:t>
      </w:r>
      <w:bookmarkEnd w:id="55"/>
    </w:p>
    <w:p w14:paraId="1067547C" w14:textId="77777777" w:rsidR="00E56717" w:rsidRDefault="00000000">
      <w:r>
        <w:t xml:space="preserve">Genuine conjunction has a price, and it lands squarely on the stiffness question the anisotropic implementation already raised. In (C),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oMath>
      <w:r>
        <w:t xml:space="preserve">: the fused well is stiffer than any single channel, and its low-rank part accumulates to rank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r</m:t>
        </m:r>
      </m:oMath>
      <w:r>
        <w:t>. The dial that controls this:</w:t>
      </w:r>
    </w:p>
    <w:tbl>
      <w:tblPr>
        <w:tblStyle w:val="TableGrid"/>
        <w:tblW w:w="5000" w:type="pct"/>
        <w:tblLayout w:type="fixed"/>
        <w:tblLook w:val="0020" w:firstRow="1" w:lastRow="0" w:firstColumn="0" w:lastColumn="0" w:noHBand="0" w:noVBand="0"/>
      </w:tblPr>
      <w:tblGrid>
        <w:gridCol w:w="2337"/>
        <w:gridCol w:w="2337"/>
        <w:gridCol w:w="2338"/>
        <w:gridCol w:w="2338"/>
      </w:tblGrid>
      <w:tr w:rsidR="00E56717" w14:paraId="113F8064" w14:textId="77777777">
        <w:trPr>
          <w:tblHeader/>
        </w:trPr>
        <w:tc>
          <w:tcPr>
            <w:tcW w:w="1980" w:type="dxa"/>
          </w:tcPr>
          <w:p w14:paraId="6720DA02" w14:textId="77777777" w:rsidR="00E56717" w:rsidRDefault="00000000">
            <w:r>
              <w:t>Fusion</w:t>
            </w:r>
          </w:p>
        </w:tc>
        <w:tc>
          <w:tcPr>
            <w:tcW w:w="1980" w:type="dxa"/>
          </w:tcPr>
          <w:p w14:paraId="72586B12" w14:textId="77777777" w:rsidR="00E56717" w:rsidRDefault="00000000">
            <w:r>
              <w:t>Precision</w:t>
            </w:r>
          </w:p>
        </w:tc>
        <w:tc>
          <w:tcPr>
            <w:tcW w:w="1980" w:type="dxa"/>
          </w:tcPr>
          <w:p w14:paraId="45108467" w14:textId="77777777" w:rsidR="00E56717" w:rsidRDefault="00000000">
            <w:r>
              <w:t>Semantics</w:t>
            </w:r>
          </w:p>
        </w:tc>
        <w:tc>
          <w:tcPr>
            <w:tcW w:w="1980" w:type="dxa"/>
          </w:tcPr>
          <w:p w14:paraId="25B44ECB" w14:textId="77777777" w:rsidR="00E56717" w:rsidRDefault="00000000">
            <w:r>
              <w:t>Stiffness</w:t>
            </w:r>
          </w:p>
        </w:tc>
      </w:tr>
      <w:tr w:rsidR="00E56717" w14:paraId="387727C8" w14:textId="77777777">
        <w:tc>
          <w:tcPr>
            <w:tcW w:w="1980" w:type="dxa"/>
          </w:tcPr>
          <w:p w14:paraId="4C2D2A1C" w14:textId="77777777" w:rsidR="00E56717" w:rsidRDefault="00000000">
            <w:r>
              <w:t>product (strict AND)</w:t>
            </w:r>
          </w:p>
        </w:tc>
        <w:tc>
          <w:tcPr>
            <w:tcW w:w="1980" w:type="dxa"/>
          </w:tcPr>
          <w:p w14:paraId="7BB54D55" w14:textId="77777777" w:rsidR="00E56717" w:rsidRDefault="00000000">
            <w:r>
              <w:t>sum of channel precisions</w:t>
            </w:r>
          </w:p>
        </w:tc>
        <w:tc>
          <w:tcPr>
            <w:tcW w:w="1980" w:type="dxa"/>
          </w:tcPr>
          <w:p w14:paraId="7564BBEC" w14:textId="77777777" w:rsidR="00E56717" w:rsidRDefault="00000000">
            <w:r>
              <w:t>firm conjunction</w:t>
            </w:r>
          </w:p>
        </w:tc>
        <w:tc>
          <w:tcPr>
            <w:tcW w:w="1980" w:type="dxa"/>
          </w:tcPr>
          <w:p w14:paraId="348A4B4A" w14:textId="77777777" w:rsidR="00E56717" w:rsidRDefault="00000000">
            <w:r>
              <w:t>grows with channel count</w:t>
            </w:r>
          </w:p>
        </w:tc>
      </w:tr>
      <w:tr w:rsidR="00E56717" w14:paraId="19254B32" w14:textId="77777777">
        <w:tc>
          <w:tcPr>
            <w:tcW w:w="1980" w:type="dxa"/>
          </w:tcPr>
          <w:p w14:paraId="4E3DEB96" w14:textId="77777777" w:rsidR="00E56717" w:rsidRDefault="00000000">
            <w:r>
              <w:t>convex (weighted)</w:t>
            </w:r>
          </w:p>
        </w:tc>
        <w:tc>
          <w:tcPr>
            <w:tcW w:w="1980" w:type="dxa"/>
          </w:tcPr>
          <w:p w14:paraId="3883C1B8" w14:textId="77777777" w:rsidR="00E56717" w:rsidRDefault="00000000">
            <w:r>
              <w:t>convex combination, weights summing to 1</w:t>
            </w:r>
          </w:p>
        </w:tc>
        <w:tc>
          <w:tcPr>
            <w:tcW w:w="1980" w:type="dxa"/>
          </w:tcPr>
          <w:p w14:paraId="31AB7CB9" w14:textId="77777777" w:rsidR="00E56717" w:rsidRDefault="00000000">
            <w:r>
              <w:t>soft interpolation</w:t>
            </w:r>
          </w:p>
        </w:tc>
        <w:tc>
          <w:tcPr>
            <w:tcW w:w="1980" w:type="dxa"/>
          </w:tcPr>
          <w:p w14:paraId="1ADC869F" w14:textId="77777777" w:rsidR="00E56717" w:rsidRDefault="00000000">
            <w:r>
              <w:t>bounded by the stiffest channel</w:t>
            </w:r>
          </w:p>
        </w:tc>
      </w:tr>
      <w:tr w:rsidR="00E56717" w14:paraId="01679E12" w14:textId="77777777">
        <w:tc>
          <w:tcPr>
            <w:tcW w:w="1980" w:type="dxa"/>
          </w:tcPr>
          <w:p w14:paraId="46C270F0" w14:textId="77777777" w:rsidR="00E56717" w:rsidRDefault="00000000">
            <w:r>
              <w:t>joint projection (A)</w:t>
            </w:r>
          </w:p>
        </w:tc>
        <w:tc>
          <w:tcPr>
            <w:tcW w:w="1980" w:type="dxa"/>
          </w:tcPr>
          <w:p w14:paraId="2C7394BC" w14:textId="77777777" w:rsidR="00E56717" w:rsidRDefault="00000000">
            <w:r>
              <w:t>learned directly</w:t>
            </w:r>
          </w:p>
        </w:tc>
        <w:tc>
          <w:tcPr>
            <w:tcW w:w="1980" w:type="dxa"/>
          </w:tcPr>
          <w:p w14:paraId="691DB933" w14:textId="77777777" w:rsidR="00E56717" w:rsidRDefault="00000000">
            <w:r>
              <w:t>learned mixture of AND / OR</w:t>
            </w:r>
          </w:p>
        </w:tc>
        <w:tc>
          <w:tcPr>
            <w:tcW w:w="1980" w:type="dxa"/>
          </w:tcPr>
          <w:p w14:paraId="3456CF9E" w14:textId="77777777" w:rsidR="00E56717" w:rsidRDefault="00000000">
            <w:r>
              <w:t>controllable via precision_lr_max</w:t>
            </w:r>
          </w:p>
        </w:tc>
      </w:tr>
    </w:tbl>
    <w:p w14:paraId="7F27B874" w14:textId="77777777" w:rsidR="00E56717" w:rsidRDefault="00000000">
      <w:r>
        <w:t xml:space="preserve">Whichever coupling is chosen, pairing it with the existing precision_lr_max cap is not optional: coupling makes the model more expressive </w:t>
      </w:r>
      <w:r>
        <w:rPr>
          <w:i/>
          <w:iCs/>
        </w:rPr>
        <w:t>and</w:t>
      </w:r>
      <w:r>
        <w:t xml:space="preserve"> more spike-prone, and the cap is what turns that added expressivity into a stable equilibrium rather than a blow-up.</w:t>
      </w:r>
    </w:p>
    <w:p w14:paraId="31DC48E2" w14:textId="77777777" w:rsidR="00E56717" w:rsidRDefault="00000000">
      <w:pPr>
        <w:pStyle w:val="Heading3"/>
      </w:pPr>
      <w:bookmarkStart w:id="56" w:name="_Toc240119404"/>
      <w:r>
        <w:t>The harmonic split stays valid</w:t>
      </w:r>
      <w:bookmarkEnd w:id="56"/>
    </w:p>
    <w:p w14:paraId="6AE4C62A" w14:textId="77777777" w:rsidR="00E56717" w:rsidRDefault="00000000">
      <w:r>
        <w:t xml:space="preserve">The CfC-BAOAB harmonic split consumes only the final per-well numbers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oMath>
      <w:r>
        <w:t>; it does not care how they were produced. Joint coupling is therefore fully compatible with baoab_cfc and baoab_cfc_lowrank. The diagonal spring and PSD low-rank operator remain</w:t>
      </w:r>
    </w:p>
    <w:p w14:paraId="65931EB5" w14:textId="77777777" w:rsidR="00E56717" w:rsidRDefault="00000000">
      <m:oMathPara>
        <m:oMathParaPr>
          <m:jc m:val="center"/>
        </m:oMathParaPr>
        <m:oMath>
          <m:sSub>
            <m:sSubPr>
              <m:ctrlPr>
                <w:rPr>
                  <w:rFonts w:ascii="Cambria Math" w:hAnsi="Cambria Math"/>
                </w:rPr>
              </m:ctrlPr>
            </m:sSubPr>
            <m:e>
              <m:r>
                <w:rPr>
                  <w:rFonts w:ascii="Cambria Math" w:hAnsi="Cambria Math"/>
                </w:rPr>
                <m:t>k</m:t>
              </m:r>
            </m:e>
            <m:sub>
              <m:r>
                <m:rPr>
                  <m:nor/>
                </m:rPr>
                <m:t>diag</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r>
            <w:rPr>
              <w:rFonts w:ascii="Cambria Math" w:hAnsi="Cambria Math"/>
            </w:rPr>
            <m:t> </m:t>
          </m:r>
          <m:r>
            <m:rPr>
              <m:sty m:val="p"/>
            </m:rPr>
            <w:rPr>
              <w:rFonts w:ascii="Cambria Math" w:hAnsi="Cambria Math"/>
            </w:rPr>
            <m:t>diag(</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  L</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d>
          <m:r>
            <m:rPr>
              <m:sty m:val="p"/>
            </m:rPr>
            <w:rPr>
              <w:rFonts w:ascii="Cambria Math" w:hAnsi="Cambria Math"/>
            </w:rPr>
            <m:t>,</m:t>
          </m:r>
        </m:oMath>
      </m:oMathPara>
    </w:p>
    <w:p w14:paraId="580E03DB" w14:textId="77777777" w:rsidR="00E56717" w:rsidRDefault="00000000">
      <w:r>
        <w:t xml:space="preserve">with </w:t>
      </w:r>
      <m:oMath>
        <m:r>
          <w:rPr>
            <w:rFonts w:ascii="Cambria Math" w:hAnsi="Cambria Math"/>
          </w:rPr>
          <m:t>G</m:t>
        </m:r>
      </m:oMath>
      <w:r>
        <w:t xml:space="preserve"> the concatenation of the per-well factors. For a joint bank with </w:t>
      </w:r>
      <m:oMath>
        <m:r>
          <w:rPr>
            <w:rFonts w:ascii="Cambria Math" w:hAnsi="Cambria Math"/>
          </w:rPr>
          <m:t>K</m:t>
        </m:r>
      </m:oMath>
      <w:r>
        <w:t xml:space="preserve"> wells the low-rank footprint is </w:t>
      </w:r>
      <m:oMath>
        <m:r>
          <w:rPr>
            <w:rFonts w:ascii="Cambria Math" w:hAnsi="Cambria Math"/>
          </w:rPr>
          <m:t>Kr</m:t>
        </m:r>
      </m:oMath>
      <w:r>
        <w:t xml:space="preserve"> modes — the same or fewer than the additive variant’s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Kr</m:t>
        </m:r>
      </m:oMath>
      <w:r>
        <w:t xml:space="preserve"> at equal </w:t>
      </w:r>
      <m:oMath>
        <m:r>
          <w:rPr>
            <w:rFonts w:ascii="Cambria Math" w:hAnsi="Cambria Math"/>
          </w:rPr>
          <m:t>K</m:t>
        </m:r>
      </m:oMath>
      <w:r>
        <w:t>.</w:t>
      </w:r>
    </w:p>
    <w:p w14:paraId="2CB6DD4C" w14:textId="77777777" w:rsidR="00E56717" w:rsidRDefault="00000000">
      <w:pPr>
        <w:pStyle w:val="Heading3"/>
      </w:pPr>
      <w:bookmarkStart w:id="57" w:name="_Toc240119405"/>
      <w:r>
        <w:t>The prototype: JointContextAnisotropicGaussianVTheta</w:t>
      </w:r>
      <w:bookmarkEnd w:id="57"/>
    </w:p>
    <w:p w14:paraId="7E54864C" w14:textId="77777777" w:rsidR="00E56717" w:rsidRDefault="00000000">
      <w:r>
        <w:t xml:space="preserve">Option (A) is implemented as a drop-in replacement for the additive multi-context module, with an identical constructor signature and identical public methods. Internally it is a single mixture bank with input width </w:t>
      </w:r>
      <m:oMath>
        <m:r>
          <m:rPr>
            <m:sty m:val="p"/>
          </m:rPr>
          <w:rPr>
            <w:rFonts w:ascii="Cambria Math" w:hAnsi="Cambria Math"/>
          </w:rPr>
          <m:t>xi_d=</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r>
          <w:rPr>
            <w:rFonts w:ascii="Cambria Math" w:hAnsi="Cambria Math"/>
          </w:rPr>
          <m:t>d</m:t>
        </m:r>
      </m:oMath>
      <w:r>
        <w:t xml:space="preserve">, so every analytic method — the force, the harmonic split, context_components, attractor_centres — is inherited by delegation rather than reimplemented. The depth-conditioned wrapper exposes the choice as a coupling flag on construction, defaulting to the additive behaviour already described; setting coupling="joint" is a one-line switch to the joint bank. Because the joint bank has </w:t>
      </w:r>
      <m:oMath>
        <m:r>
          <w:rPr>
            <w:rFonts w:ascii="Cambria Math" w:hAnsi="Cambria Math"/>
          </w:rPr>
          <m:t>K</m:t>
        </m:r>
      </m:oMath>
      <w:r>
        <w:t xml:space="preserve"> joint attractors versus the additive design’s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K</m:t>
        </m:r>
      </m:oMath>
      <w:r>
        <w:t xml:space="preserve">, matching the additive attractor budget means setting </w:t>
      </w:r>
      <m:oMath>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nor/>
              </m:rPr>
              <m:t>additive</m:t>
            </m:r>
          </m:sub>
        </m:sSub>
      </m:oMath>
      <w:r>
        <w:t>.</w:t>
      </w:r>
    </w:p>
    <w:p w14:paraId="0BB0FBB6" w14:textId="77777777" w:rsidR="00E56717" w:rsidRDefault="00000000">
      <w:r>
        <w:t xml:space="preserve">A test suite verifies the properties that matter for trusting this as a drop-in: the analytic force matches autograd to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the diagonal/low-rank harmonic split reproduces the true force exactly, with the low-rank operator positive semi-definite; rank 0 reduces to the exact full force; and — the load-bearing check — the joint bank’s cross-channel Hessian block is measurably nonzero while the additive bank’s is exactly zero, confirming in code that coupling is actually happening rather than merely being architecturally possible.</w:t>
      </w:r>
    </w:p>
    <w:p w14:paraId="1FB53063" w14:textId="77777777" w:rsidR="00E56717" w:rsidRDefault="00000000">
      <w:pPr>
        <w:pStyle w:val="Heading3"/>
      </w:pPr>
      <w:bookmarkStart w:id="58" w:name="_Toc240119406"/>
      <w:r>
        <w:t>What this predicts, and how to test it</w:t>
      </w:r>
      <w:bookmarkEnd w:id="58"/>
    </w:p>
    <w:p w14:paraId="050E1372" w14:textId="77777777" w:rsidR="00E56717" w:rsidRDefault="00000000">
      <w:r>
        <w:t xml:space="preserve">A clean comparison on a fixed corpus, holding channel count, </w:t>
      </w:r>
      <m:oMath>
        <m:sSub>
          <m:sSubPr>
            <m:ctrlPr>
              <w:rPr>
                <w:rFonts w:ascii="Cambria Math" w:hAnsi="Cambria Math"/>
              </w:rPr>
            </m:ctrlPr>
          </m:sSubPr>
          <m:e>
            <m:r>
              <w:rPr>
                <w:rFonts w:ascii="Cambria Math" w:hAnsi="Cambria Math"/>
              </w:rPr>
              <m:t>V</m:t>
            </m:r>
          </m:e>
          <m:sub>
            <m:r>
              <w:rPr>
                <w:rFonts w:ascii="Cambria Math" w:hAnsi="Cambria Math"/>
              </w:rPr>
              <m:t>ϕ</m:t>
            </m:r>
          </m:sub>
        </m:sSub>
      </m:oMath>
      <w:r>
        <w:t>, schedule, and seed constant while toggling only the coupling, makes four falsifiable predictions: joint coupling should improve perplexity at fixed channel count and equal parameter budget; joint coupling should keep improving with more channels in the regime where the additive design plateaus (the diminishing-returns argument of the section above); joint coupling paired with precision_lr_max should train without watchdog reloads; and the offline channel-Hessian coupling gap should track the perplexity gap across seeds, distinguishing coupling itself from a mere capacity increase. The predicted failure mode, if confinement is skipped, is exactly the curvature concentration derived above showing up as additional gradient spikes — the expected and testable cost of the added expressivity, not a surprise.</w:t>
      </w:r>
    </w:p>
    <w:p w14:paraId="1FC6B7DD" w14:textId="77777777" w:rsidR="00CA71F4" w:rsidRDefault="00CA71F4"/>
    <w:p w14:paraId="080CA8DA" w14:textId="77777777" w:rsidR="00625ABB" w:rsidRDefault="00625ABB" w:rsidP="00625ABB">
      <w:pPr>
        <w:pStyle w:val="Heading1"/>
      </w:pPr>
      <w:bookmarkStart w:id="59" w:name="_Toc240119407"/>
      <w:r>
        <w:t>References</w:t>
      </w:r>
      <w:bookmarkEnd w:id="59"/>
    </w:p>
    <w:p w14:paraId="68B65BA8" w14:textId="77777777" w:rsidR="002F2977" w:rsidRPr="002F2977" w:rsidRDefault="002F2977" w:rsidP="002F2977">
      <w:r>
        <w:t xml:space="preserve">[1] </w:t>
      </w:r>
      <w:hyperlink r:id="rId11" w:history="1">
        <w:r w:rsidRPr="008314CD">
          <w:rPr>
            <w:rStyle w:val="Hyperlink"/>
            <w:rFonts w:eastAsiaTheme="minorEastAsia"/>
          </w:rPr>
          <w:t>Semantic Simulation: A Prescriptive Lagrangian Framework for Efficient Semantic Inference, D.Gueorguiev, 2026</w:t>
        </w:r>
      </w:hyperlink>
    </w:p>
    <w:p w14:paraId="36E7192B" w14:textId="77777777" w:rsidR="00625ABB" w:rsidRDefault="00625ABB">
      <w:r>
        <w:t>[</w:t>
      </w:r>
      <w:r w:rsidR="002F2977">
        <w:t>2</w:t>
      </w:r>
      <w:r>
        <w:t>]</w:t>
      </w:r>
      <w:r w:rsidR="008A7142">
        <w:t xml:space="preserve"> </w:t>
      </w:r>
      <w:hyperlink r:id="rId12" w:history="1">
        <w:r w:rsidR="00752E2E" w:rsidRPr="00752E2E">
          <w:rPr>
            <w:rStyle w:val="Hyperlink"/>
          </w:rPr>
          <w:t xml:space="preserve">Semantic Attractor Extraction from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hyperlink>
      <w:r w:rsidR="00752E2E">
        <w:rPr>
          <w:rFonts w:eastAsiaTheme="minorEastAsia"/>
        </w:rPr>
        <w:t xml:space="preserve">, companion note </w:t>
      </w:r>
      <w:r w:rsidR="002F2977">
        <w:rPr>
          <w:rFonts w:eastAsiaTheme="minorEastAsia"/>
        </w:rPr>
        <w:t xml:space="preserve">to </w:t>
      </w:r>
      <w:hyperlink r:id="rId13" w:history="1">
        <w:r w:rsidR="002F2977" w:rsidRPr="002F2977">
          <w:rPr>
            <w:rStyle w:val="Hyperlink"/>
            <w:rFonts w:eastAsiaTheme="minorEastAsia"/>
          </w:rPr>
          <w:t>[1]</w:t>
        </w:r>
      </w:hyperlink>
    </w:p>
    <w:p w14:paraId="5ABD57FE" w14:textId="77777777" w:rsidR="00625ABB" w:rsidRDefault="00625ABB">
      <w:pPr>
        <w:rPr>
          <w:rStyle w:val="Hyperlink"/>
          <w:rFonts w:eastAsiaTheme="minorEastAsia"/>
        </w:rPr>
      </w:pPr>
      <w:r>
        <w:t>[</w:t>
      </w:r>
      <w:r w:rsidR="002F2977">
        <w:t>3</w:t>
      </w:r>
      <w:r>
        <w:t>]</w:t>
      </w:r>
      <w:r w:rsidR="00752E2E">
        <w:t xml:space="preserve"> </w:t>
      </w:r>
      <w:hyperlink r:id="rId14" w:history="1">
        <w:r w:rsidR="009A30D9" w:rsidRPr="009A30D9">
          <w:rPr>
            <w:rStyle w:val="Hyperlink"/>
          </w:rPr>
          <w:t xml:space="preserve">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009A30D9" w:rsidRPr="009A30D9">
          <w:rPr>
            <w:rStyle w:val="Hyperlink"/>
            <w:rFonts w:eastAsiaTheme="minorEastAsia"/>
          </w:rPr>
          <w:t>: Theory, Derivation, and Analysis</w:t>
        </w:r>
      </w:hyperlink>
      <w:r w:rsidR="009A30D9">
        <w:rPr>
          <w:rFonts w:eastAsiaTheme="minorEastAsia"/>
        </w:rPr>
        <w:t xml:space="preserve">, </w:t>
      </w:r>
      <w:r w:rsidR="002F2977">
        <w:rPr>
          <w:rFonts w:eastAsiaTheme="minorEastAsia"/>
        </w:rPr>
        <w:t xml:space="preserve">companion note to </w:t>
      </w:r>
      <w:hyperlink r:id="rId15" w:history="1">
        <w:r w:rsidR="002F2977" w:rsidRPr="002F2977">
          <w:rPr>
            <w:rStyle w:val="Hyperlink"/>
            <w:rFonts w:eastAsiaTheme="minorEastAsia"/>
          </w:rPr>
          <w:t>[1]</w:t>
        </w:r>
      </w:hyperlink>
    </w:p>
    <w:p w14:paraId="2CE58F28" w14:textId="77777777" w:rsidR="00A67B18" w:rsidRPr="00A67B18" w:rsidRDefault="00A67B18">
      <w:r w:rsidRPr="00A67B18">
        <w:rPr>
          <w:rStyle w:val="Hyperlink"/>
          <w:rFonts w:eastAsiaTheme="minorEastAsia"/>
          <w:color w:val="auto"/>
          <w:u w:val="none"/>
        </w:rPr>
        <w:t>[</w:t>
      </w:r>
      <w:r>
        <w:rPr>
          <w:rStyle w:val="Hyperlink"/>
          <w:rFonts w:eastAsiaTheme="minorEastAsia"/>
          <w:color w:val="auto"/>
          <w:u w:val="none"/>
        </w:rPr>
        <w:t>4</w:t>
      </w:r>
      <w:r w:rsidRPr="00A67B18">
        <w:rPr>
          <w:rStyle w:val="Hyperlink"/>
          <w:rFonts w:eastAsiaTheme="minorEastAsia"/>
          <w:color w:val="auto"/>
          <w:u w:val="none"/>
        </w:rPr>
        <w:t xml:space="preserve">] </w:t>
      </w:r>
      <w:hyperlink r:id="rId16" w:history="1">
        <w:r w:rsidRPr="00A67B18">
          <w:rPr>
            <w:rStyle w:val="Hyperlink"/>
            <w:rFonts w:eastAsiaTheme="minorEastAsia"/>
          </w:rPr>
          <w:t>Potential Wells, Temperature, and the Boltzmann-Gibbs Connection</w:t>
        </w:r>
      </w:hyperlink>
      <w:r w:rsidRPr="00A67B18">
        <w:rPr>
          <w:rStyle w:val="Hyperlink"/>
          <w:rFonts w:eastAsiaTheme="minorEastAsia"/>
          <w:color w:val="auto"/>
          <w:u w:val="none"/>
        </w:rPr>
        <w:t xml:space="preserve">, companion note to </w:t>
      </w:r>
      <w:hyperlink r:id="rId17" w:history="1">
        <w:r w:rsidRPr="00A67B18">
          <w:rPr>
            <w:rStyle w:val="Hyperlink"/>
            <w:rFonts w:eastAsiaTheme="minorEastAsia"/>
          </w:rPr>
          <w:t>[1]</w:t>
        </w:r>
      </w:hyperlink>
    </w:p>
    <w:p w14:paraId="7DB1A9E0" w14:textId="77777777" w:rsidR="009A30D9" w:rsidRDefault="009A30D9">
      <w:pPr>
        <w:rPr>
          <w:rFonts w:eastAsiaTheme="minorEastAsia"/>
        </w:rPr>
      </w:pPr>
      <w:r>
        <w:rPr>
          <w:rFonts w:eastAsiaTheme="minorEastAsia"/>
        </w:rPr>
        <w:t>[</w:t>
      </w:r>
      <w:r w:rsidR="00A67B18">
        <w:rPr>
          <w:rFonts w:eastAsiaTheme="minorEastAsia"/>
        </w:rPr>
        <w:t>5</w:t>
      </w:r>
      <w:r>
        <w:rPr>
          <w:rFonts w:eastAsiaTheme="minorEastAsia"/>
        </w:rPr>
        <w:t xml:space="preserve">] </w:t>
      </w:r>
      <w:hyperlink r:id="rId18" w:history="1">
        <w:r w:rsidR="00D06DD7" w:rsidRPr="00D06DD7">
          <w:rPr>
            <w:rStyle w:val="Hyperlink"/>
            <w:rFonts w:eastAsiaTheme="minorEastAsia"/>
          </w:rPr>
          <w:t xml:space="preserve">Training Instabilities in Fock-PARFLM v2.1 with Structured </w:t>
        </w:r>
        <m:oMath>
          <m:sSub>
            <m:sSubPr>
              <m:ctrlPr>
                <w:rPr>
                  <w:rStyle w:val="Hyperlink"/>
                  <w:rFonts w:ascii="Cambria Math" w:eastAsiaTheme="minorEastAsia" w:hAnsi="Cambria Math"/>
                  <w:i/>
                </w:rPr>
              </m:ctrlPr>
            </m:sSubPr>
            <m:e>
              <m:r>
                <w:rPr>
                  <w:rStyle w:val="Hyperlink"/>
                  <w:rFonts w:ascii="Cambria Math" w:eastAsiaTheme="minorEastAsia" w:hAnsi="Cambria Math"/>
                </w:rPr>
                <m:t>V</m:t>
              </m:r>
            </m:e>
            <m:sub>
              <m:r>
                <w:rPr>
                  <w:rStyle w:val="Hyperlink"/>
                  <w:rFonts w:ascii="Cambria Math" w:eastAsiaTheme="minorEastAsia" w:hAnsi="Cambria Math"/>
                </w:rPr>
                <m:t>θ</m:t>
              </m:r>
            </m:sub>
          </m:sSub>
        </m:oMath>
      </w:hyperlink>
      <w:r w:rsidR="00D06DD7">
        <w:rPr>
          <w:rFonts w:eastAsiaTheme="minorEastAsia"/>
        </w:rPr>
        <w:t xml:space="preserve">, </w:t>
      </w:r>
      <w:r w:rsidR="002F2977">
        <w:rPr>
          <w:rFonts w:eastAsiaTheme="minorEastAsia"/>
        </w:rPr>
        <w:t xml:space="preserve">companion note to </w:t>
      </w:r>
      <w:hyperlink r:id="rId19" w:history="1">
        <w:r w:rsidR="002F2977" w:rsidRPr="002F2977">
          <w:rPr>
            <w:rStyle w:val="Hyperlink"/>
            <w:rFonts w:eastAsiaTheme="minorEastAsia"/>
          </w:rPr>
          <w:t>[1]</w:t>
        </w:r>
      </w:hyperlink>
    </w:p>
    <w:p w14:paraId="23CEE6FF" w14:textId="77777777" w:rsidR="00211ED5" w:rsidRDefault="00211ED5">
      <w:pPr>
        <w:rPr>
          <w:rFonts w:eastAsiaTheme="minorEastAsia"/>
        </w:rPr>
      </w:pPr>
      <w:r>
        <w:rPr>
          <w:rFonts w:eastAsiaTheme="minorEastAsia"/>
        </w:rPr>
        <w:t>[</w:t>
      </w:r>
      <w:r w:rsidR="00A67B18">
        <w:rPr>
          <w:rFonts w:eastAsiaTheme="minorEastAsia"/>
        </w:rPr>
        <w:t>6</w:t>
      </w:r>
      <w:r>
        <w:rPr>
          <w:rFonts w:eastAsiaTheme="minorEastAsia"/>
        </w:rPr>
        <w:t xml:space="preserve">] </w:t>
      </w:r>
      <w:hyperlink r:id="rId20" w:history="1">
        <w:r w:rsidRPr="00211ED5">
          <w:rPr>
            <w:rStyle w:val="Hyperlink"/>
            <w:rFonts w:eastAsiaTheme="minorEastAsia"/>
          </w:rPr>
          <w:t>Fock-PARFLM vs GPT-2 on OpenWebText: Predicted Results and Next Steps</w:t>
        </w:r>
      </w:hyperlink>
      <w:r>
        <w:rPr>
          <w:rFonts w:eastAsiaTheme="minorEastAsia"/>
        </w:rPr>
        <w:t xml:space="preserve">, </w:t>
      </w:r>
      <w:r w:rsidR="002F2977">
        <w:rPr>
          <w:rFonts w:eastAsiaTheme="minorEastAsia"/>
        </w:rPr>
        <w:t xml:space="preserve">companion note to </w:t>
      </w:r>
      <w:hyperlink r:id="rId21" w:history="1">
        <w:r w:rsidR="002F2977" w:rsidRPr="002F2977">
          <w:rPr>
            <w:rStyle w:val="Hyperlink"/>
            <w:rFonts w:eastAsiaTheme="minorEastAsia"/>
          </w:rPr>
          <w:t>[1]</w:t>
        </w:r>
      </w:hyperlink>
    </w:p>
    <w:p w14:paraId="53807869" w14:textId="77777777" w:rsidR="003A6D4C" w:rsidRDefault="003A6D4C">
      <w:pPr>
        <w:rPr>
          <w:rStyle w:val="Hyperlink"/>
          <w:rFonts w:eastAsiaTheme="minorEastAsia"/>
        </w:rPr>
      </w:pPr>
      <w:r>
        <w:rPr>
          <w:rFonts w:eastAsiaTheme="minorEastAsia"/>
        </w:rPr>
        <w:t>[</w:t>
      </w:r>
      <w:r w:rsidR="00A67B18">
        <w:rPr>
          <w:rFonts w:eastAsiaTheme="minorEastAsia"/>
        </w:rPr>
        <w:t>7</w:t>
      </w:r>
      <w:r>
        <w:rPr>
          <w:rFonts w:eastAsiaTheme="minorEastAsia"/>
        </w:rPr>
        <w:t xml:space="preserve">] </w:t>
      </w:r>
      <m:oMath>
        <w:hyperlink r:id="rId22" w:history="1">
          <m:r>
            <w:rPr>
              <w:rStyle w:val="Hyperlink"/>
              <w:rFonts w:ascii="Cambria Math" w:eastAsiaTheme="minorEastAsia" w:hAnsi="Cambria Math"/>
            </w:rPr>
            <m:t>ξ</m:t>
          </m:r>
        </w:hyperlink>
      </m:oMath>
      <w:r w:rsidRPr="00211ED5">
        <w:rPr>
          <w:rStyle w:val="Hyperlink"/>
          <w:rFonts w:eastAsiaTheme="minorEastAsia"/>
        </w:rPr>
        <w:t>-Bottleneck Diagnosis: Multi-</w:t>
      </w:r>
      <m:oMath>
        <m:r>
          <w:rPr>
            <w:rStyle w:val="Hyperlink"/>
            <w:rFonts w:ascii="Cambria Math" w:eastAsiaTheme="minorEastAsia" w:hAnsi="Cambria Math"/>
          </w:rPr>
          <m:t>ξ</m:t>
        </m:r>
      </m:oMath>
      <w:r w:rsidRPr="00211ED5">
        <w:rPr>
          <w:rStyle w:val="Hyperlink"/>
          <w:rFonts w:eastAsiaTheme="minorEastAsia"/>
        </w:rPr>
        <w:t xml:space="preserve"> </w:t>
      </w:r>
      <w:r w:rsidR="00211ED5" w:rsidRPr="00211ED5">
        <w:rPr>
          <w:rStyle w:val="Hyperlink"/>
          <w:rFonts w:eastAsiaTheme="minorEastAsia"/>
        </w:rPr>
        <w:t>Fock-PARFLM v2.1 on OpenWebText,</w:t>
      </w:r>
      <w:r w:rsidR="00211ED5">
        <w:rPr>
          <w:rFonts w:eastAsiaTheme="minorEastAsia"/>
        </w:rPr>
        <w:t xml:space="preserve"> </w:t>
      </w:r>
      <w:r w:rsidR="002F2977">
        <w:rPr>
          <w:rFonts w:eastAsiaTheme="minorEastAsia"/>
        </w:rPr>
        <w:t xml:space="preserve">companion note to </w:t>
      </w:r>
      <w:hyperlink r:id="rId23" w:history="1">
        <w:r w:rsidR="002F2977" w:rsidRPr="002F2977">
          <w:rPr>
            <w:rStyle w:val="Hyperlink"/>
            <w:rFonts w:eastAsiaTheme="minorEastAsia"/>
          </w:rPr>
          <w:t>[1]</w:t>
        </w:r>
      </w:hyperlink>
    </w:p>
    <w:p w14:paraId="029841B2" w14:textId="77777777" w:rsidR="003A6D4C" w:rsidRDefault="003A6D4C">
      <w:pPr>
        <w:rPr>
          <w:rStyle w:val="Hyperlink"/>
          <w:rFonts w:eastAsiaTheme="minorEastAsia"/>
        </w:rPr>
      </w:pPr>
      <w:r>
        <w:t>[8] Deep Dive in the SPLM model and code, companion note to [1]</w:t>
      </w:r>
    </w:p>
    <w:p w14:paraId="261CEC35" w14:textId="77777777" w:rsidR="003A6D4C" w:rsidRDefault="003A6D4C">
      <w:pPr>
        <w:rPr>
          <w:rStyle w:val="Hyperlink"/>
          <w:rFonts w:eastAsiaTheme="minorEastAsia"/>
        </w:rPr>
      </w:pPr>
      <w:r>
        <w:t>[9] Analytic Multi-Channel Integration in a Single Structured V_theta Well, companion note to [1]</w:t>
      </w:r>
    </w:p>
    <w:p w14:paraId="3E9E7CFB" w14:textId="77777777" w:rsidR="003A6D4C" w:rsidRDefault="003A6D4C">
      <w:pPr>
        <w:rPr>
          <w:rStyle w:val="Hyperlink"/>
          <w:rFonts w:eastAsiaTheme="minorEastAsia"/>
        </w:rPr>
      </w:pPr>
      <w:r>
        <w:t>[10] Curvature Diagnostics and Rank Selection for Anisotropic Gaussian V_theta, companion note to [1]</w:t>
      </w:r>
    </w:p>
    <w:p w14:paraId="612D7DDA" w14:textId="77777777" w:rsidR="00131E5A" w:rsidRDefault="00131E5A"/>
    <w:p w14:paraId="2941F7C7" w14:textId="77777777" w:rsidR="00131E5A" w:rsidRDefault="009C586B" w:rsidP="009C586B">
      <w:pPr>
        <w:pStyle w:val="Heading1"/>
      </w:pPr>
      <w:bookmarkStart w:id="60" w:name="_Toc240119408"/>
      <w:r>
        <w:t>Appendix</w:t>
      </w:r>
      <w:bookmarkEnd w:id="60"/>
    </w:p>
    <w:p w14:paraId="62CB5021" w14:textId="77777777" w:rsidR="009C586B" w:rsidRDefault="009C586B"/>
    <w:p w14:paraId="2CCDDCBA" w14:textId="77777777" w:rsidR="009C586B" w:rsidRDefault="009C586B" w:rsidP="009C586B">
      <w:pPr>
        <w:pStyle w:val="Heading2"/>
      </w:pPr>
      <w:bookmarkStart w:id="61" w:name="_Toc240119409"/>
      <w:r>
        <w:t>Note on</w:t>
      </w:r>
      <w:r w:rsidR="00F42A4B">
        <w:t xml:space="preserve"> logit </w:t>
      </w:r>
      <m:oMath>
        <m:r>
          <m:rPr>
            <m:scr m:val="script"/>
          </m:rPr>
          <w:rPr>
            <w:rFonts w:ascii="Cambria Math" w:hAnsi="Cambria Math"/>
          </w:rPr>
          <m:t>l</m:t>
        </m:r>
      </m:oMath>
      <w:r w:rsidR="00F42A4B">
        <w:t xml:space="preserve"> and</w:t>
      </w:r>
      <w:r>
        <w:t xml:space="preserve"> embedding matrix </w:t>
      </w:r>
      <m:oMath>
        <m:r>
          <w:rPr>
            <w:rFonts w:ascii="Cambria Math" w:hAnsi="Cambria Math"/>
          </w:rPr>
          <m:t>E</m:t>
        </m:r>
      </m:oMath>
      <w:r>
        <w:t xml:space="preserve"> in SPLM</w:t>
      </w:r>
      <w:bookmarkEnd w:id="61"/>
    </w:p>
    <w:p w14:paraId="7099A422" w14:textId="77777777" w:rsidR="00B618DB" w:rsidRDefault="00B618DB" w:rsidP="009C586B"/>
    <w:p w14:paraId="513AA104" w14:textId="77777777" w:rsidR="00B618DB" w:rsidRDefault="001D4D86" w:rsidP="009C586B">
      <w:r>
        <w:t xml:space="preserve">A logit </w:t>
      </w:r>
      <m:oMath>
        <m:r>
          <m:rPr>
            <m:scr m:val="script"/>
          </m:rPr>
          <w:rPr>
            <w:rFonts w:ascii="Cambria Math" w:hAnsi="Cambria Math"/>
          </w:rPr>
          <m:t>l</m:t>
        </m:r>
      </m:oMath>
      <w:r w:rsidR="003F5E1B">
        <w:rPr>
          <w:rFonts w:eastAsiaTheme="minorEastAsia"/>
        </w:rPr>
        <w:t xml:space="preserve"> </w:t>
      </w:r>
      <w:r>
        <w:t>is the r</w:t>
      </w:r>
      <w:r w:rsidR="00BE14B4">
        <w:t>a</w:t>
      </w:r>
      <w:r>
        <w:t>w, unnormalized score that the model assigns to each token before converting it to probability.</w:t>
      </w:r>
    </w:p>
    <w:p w14:paraId="513FE940" w14:textId="77777777" w:rsidR="001D4D86" w:rsidRDefault="001D4D86" w:rsidP="009C586B">
      <w:pPr>
        <w:rPr>
          <w:rFonts w:eastAsiaTheme="minorEastAsia"/>
        </w:rPr>
      </w:pPr>
      <w:r>
        <w:t xml:space="preserve">Concretely, for a hidden state </w:t>
      </w:r>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of the final layer (denoted by superscript * or alternatively by subscript </w:t>
      </w:r>
      <m:oMath>
        <m:box>
          <m:boxPr>
            <m:ctrlPr>
              <w:rPr>
                <w:rFonts w:ascii="Cambria Math" w:hAnsi="Cambria Math"/>
              </w:rPr>
            </m:ctrlPr>
          </m:boxPr>
          <m:e>
            <m:r>
              <w:rPr>
                <w:rFonts w:ascii="Cambria Math" w:hAnsi="Cambria Math"/>
              </w:rPr>
              <m:t>L</m:t>
            </m:r>
          </m:e>
        </m:box>
      </m:oMath>
      <w:r>
        <w:t xml:space="preserve"> as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and embedding matrix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t xml:space="preserve">, vectors in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are columns. The logit for token </w:t>
      </w:r>
      <m:oMath>
        <m:box>
          <m:boxPr>
            <m:ctrlPr>
              <w:rPr>
                <w:rFonts w:ascii="Cambria Math" w:hAnsi="Cambria Math"/>
              </w:rPr>
            </m:ctrlPr>
          </m:boxPr>
          <m:e>
            <m:r>
              <w:rPr>
                <w:rFonts w:ascii="Cambria Math" w:hAnsi="Cambria Math"/>
              </w:rPr>
              <m:t>v</m:t>
            </m:r>
          </m:e>
        </m:box>
      </m:oMath>
      <w:r>
        <w:t xml:space="preserve"> is the inner product</w:t>
      </w:r>
    </w:p>
    <w:p w14:paraId="1BE40B14" w14:textId="77777777" w:rsidR="003F5E1B" w:rsidRDefault="003F5E1B" w:rsidP="009C586B">
      <w:pPr>
        <w:rPr>
          <w:rFonts w:eastAsiaTheme="minorEastAsia"/>
        </w:rPr>
      </w:pPr>
    </w:p>
    <w:p w14:paraId="1689B50B" w14:textId="77777777" w:rsidR="003F5E1B" w:rsidRDefault="00000000" w:rsidP="009C586B">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l</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m:rPr>
                  <m:nor/>
                </m:rPr>
                <w:rPr>
                  <w:rFonts w:ascii="Cambria Math" w:hAnsi="Cambria Math"/>
                </w:rPr>
                <m:t>R(log.1)</m:t>
              </m:r>
            </m:e>
          </m:box>
        </m:oMath>
      </m:oMathPara>
    </w:p>
    <w:p w14:paraId="3BF31201" w14:textId="77777777" w:rsidR="003F5E1B" w:rsidRDefault="003F5E1B" w:rsidP="009C586B">
      <w:pPr>
        <w:rPr>
          <w:rFonts w:eastAsiaTheme="minorEastAsia"/>
        </w:rPr>
      </w:pPr>
    </w:p>
    <w:p w14:paraId="7706943D" w14:textId="77777777" w:rsidR="00BF1FB7" w:rsidRDefault="003F5E1B" w:rsidP="009C586B">
      <w:pPr>
        <w:rPr>
          <w:rFonts w:eastAsiaTheme="minorEastAsia"/>
        </w:rPr>
      </w:pPr>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is the embedding vector of token </w:t>
      </w:r>
      <m:oMath>
        <m:box>
          <m:boxPr>
            <m:ctrlPr>
              <w:rPr>
                <w:rFonts w:ascii="Cambria Math" w:hAnsi="Cambria Math"/>
              </w:rPr>
            </m:ctrlPr>
          </m:boxPr>
          <m:e>
            <m:r>
              <w:rPr>
                <w:rFonts w:ascii="Cambria Math" w:hAnsi="Cambria Math"/>
              </w:rPr>
              <m:t>v</m:t>
            </m:r>
          </m:e>
        </m:box>
      </m:oMath>
      <w:r>
        <w:t xml:space="preserve">, i.e. row </w:t>
      </w:r>
      <m:oMath>
        <m:box>
          <m:boxPr>
            <m:ctrlPr>
              <w:rPr>
                <w:rFonts w:ascii="Cambria Math" w:hAnsi="Cambria Math"/>
              </w:rPr>
            </m:ctrlPr>
          </m:boxPr>
          <m:e>
            <m:r>
              <w:rPr>
                <w:rFonts w:ascii="Cambria Math" w:hAnsi="Cambria Math"/>
              </w:rPr>
              <m:t>v</m:t>
            </m:r>
          </m:e>
        </m:box>
      </m:oMath>
      <w:r>
        <w:t xml:space="preserve"> of </w:t>
      </w:r>
      <m:oMath>
        <m:box>
          <m:boxPr>
            <m:ctrlPr>
              <w:rPr>
                <w:rFonts w:ascii="Cambria Math" w:hAnsi="Cambria Math"/>
              </w:rPr>
            </m:ctrlPr>
          </m:boxPr>
          <m:e>
            <m:r>
              <w:rPr>
                <w:rFonts w:ascii="Cambria Math" w:hAnsi="Cambria Math"/>
              </w:rPr>
              <m:t>E</m:t>
            </m:r>
          </m:e>
        </m:box>
      </m:oMath>
      <w:r>
        <w:t xml:space="preserve"> written as a column: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r>
                      <w:rPr>
                        <w:rFonts w:ascii="Cambria Math" w:hAnsi="Cambria Math"/>
                      </w:rPr>
                      <m:t>v</m:t>
                    </m:r>
                    <m:r>
                      <m:rPr>
                        <m:sty m:val="p"/>
                      </m:rPr>
                      <w:rPr>
                        <w:rFonts w:ascii="Cambria Math" w:hAnsi="Cambria Math"/>
                      </w:rPr>
                      <m:t>,*</m:t>
                    </m:r>
                  </m:e>
                </m:box>
              </m:sub>
            </m:sSub>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e>
        </m:box>
      </m:oMath>
      <w:r>
        <w:t>. This is the Euclidean inner product of two length-</w:t>
      </w:r>
      <m:oMath>
        <m:box>
          <m:boxPr>
            <m:ctrlPr>
              <w:rPr>
                <w:rFonts w:ascii="Cambria Math" w:hAnsi="Cambria Math"/>
              </w:rPr>
            </m:ctrlPr>
          </m:boxPr>
          <m:e>
            <m:r>
              <w:rPr>
                <w:rFonts w:ascii="Cambria Math" w:hAnsi="Cambria Math"/>
              </w:rPr>
              <m:t>d</m:t>
            </m:r>
          </m:e>
        </m:box>
      </m:oMath>
      <w:r>
        <w:t xml:space="preserve"> vectors — a single scalar measuring how aligned </w:t>
      </w:r>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e>
        </m:box>
      </m:oMath>
      <w:r>
        <w:t xml:space="preserve"> is with that token’s direction. The same map in matrix form is </w:t>
      </w:r>
      <m:oMath>
        <m:box>
          <m:boxPr>
            <m:ctrlPr>
              <w:rPr>
                <w:rFonts w:ascii="Cambria Math" w:hAnsi="Cambria Math"/>
              </w:rPr>
            </m:ctrlPr>
          </m:boxPr>
          <m:e>
            <m:r>
              <w:rPr>
                <w:rFonts w:ascii="Cambria Math" w:hAnsi="Cambria Math"/>
              </w:rPr>
              <m:t>E</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V</m:t>
                    </m:r>
                  </m:e>
                </m:box>
              </m:sup>
            </m:sSup>
          </m:e>
        </m:box>
      </m:oMath>
      <w:r>
        <w:t xml:space="preserve"> (see (log.5) and the tied-head identity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below). The dotted operators </w:t>
      </w:r>
      <m:oMath>
        <m:box>
          <m:boxPr>
            <m:ctrlPr>
              <w:rPr>
                <w:rFonts w:ascii="Cambria Math" w:hAnsi="Cambria Math"/>
              </w:rPr>
            </m:ctrlPr>
          </m:boxPr>
          <m:e>
            <m:r>
              <m:rPr>
                <m:sty m:val="p"/>
              </m:rPr>
              <w:rPr>
                <w:rFonts w:ascii="Cambria Math" w:hAnsi="Cambria Math"/>
              </w:rPr>
              <m:t>·</m:t>
            </m:r>
          </m:e>
        </m:box>
      </m:oMath>
      <w:r>
        <w:t xml:space="preserve"> used later for logits are this inner product when both factors are length-</w:t>
      </w:r>
      <m:oMath>
        <m:box>
          <m:boxPr>
            <m:ctrlPr>
              <w:rPr>
                <w:rFonts w:ascii="Cambria Math" w:hAnsi="Cambria Math"/>
              </w:rPr>
            </m:ctrlPr>
          </m:boxPr>
          <m:e>
            <m:r>
              <w:rPr>
                <w:rFonts w:ascii="Cambria Math" w:hAnsi="Cambria Math"/>
              </w:rPr>
              <m:t>d</m:t>
            </m:r>
          </m:e>
        </m:box>
      </m:oMath>
      <w:r>
        <w:t xml:space="preserve"> vectors; they are </w:t>
      </w:r>
      <w:r>
        <w:rPr>
          <w:b/>
        </w:rPr>
        <w:t>not</w:t>
      </w:r>
      <w:r>
        <w:t xml:space="preserve"> Hadamard products.</w:t>
      </w:r>
    </w:p>
    <w:p w14:paraId="5271ED3B" w14:textId="77777777" w:rsidR="00BF1FB7" w:rsidRDefault="00BF1FB7" w:rsidP="009C586B">
      <w:pPr>
        <w:rPr>
          <w:rFonts w:eastAsiaTheme="minorEastAsia"/>
        </w:rPr>
      </w:pPr>
    </w:p>
    <w:p w14:paraId="77A6E10C" w14:textId="77777777" w:rsidR="00BF1FB7" w:rsidRDefault="00BF1FB7" w:rsidP="009C586B">
      <w:pPr>
        <w:rPr>
          <w:rFonts w:eastAsiaTheme="minorEastAsia"/>
        </w:rPr>
      </w:pPr>
      <w:r>
        <w:rPr>
          <w:rFonts w:eastAsiaTheme="minorEastAsia"/>
        </w:rPr>
        <w:t xml:space="preserve">We can make the token position explicit </w:t>
      </w:r>
      <w:r w:rsidR="001F70A2">
        <w:rPr>
          <w:rFonts w:eastAsiaTheme="minorEastAsia"/>
        </w:rPr>
        <w:t xml:space="preserve">by subscripting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F70A2">
        <w:rPr>
          <w:rFonts w:eastAsiaTheme="minorEastAsia"/>
        </w:rPr>
        <w:t xml:space="preserve"> explicitly with the sequence position </w:t>
      </w:r>
      <m:oMath>
        <m:r>
          <w:rPr>
            <w:rFonts w:ascii="Cambria Math" w:eastAsiaTheme="minorEastAsia" w:hAnsi="Cambria Math"/>
          </w:rPr>
          <m:t>t</m:t>
        </m:r>
      </m:oMath>
      <w:r w:rsidR="00AF49E2">
        <w:rPr>
          <w:rFonts w:eastAsiaTheme="minorEastAsia"/>
        </w:rPr>
        <w:t>:</w:t>
      </w:r>
    </w:p>
    <w:p w14:paraId="581489C9" w14:textId="77777777" w:rsidR="00AF49E2" w:rsidRDefault="00000000" w:rsidP="00AF49E2">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m:rPr>
                  <m:nor/>
                </m:rPr>
                <w:rPr>
                  <w:rFonts w:ascii="Cambria Math" w:hAnsi="Cambria Math"/>
                </w:rPr>
                <m:t>R(log.2)</m:t>
              </m:r>
            </m:e>
          </m:box>
        </m:oMath>
      </m:oMathPara>
    </w:p>
    <w:p w14:paraId="26F6CAC0" w14:textId="77777777" w:rsidR="00AF49E2" w:rsidRDefault="00AF49E2" w:rsidP="009C586B">
      <w:pPr>
        <w:rPr>
          <w:rFonts w:eastAsiaTheme="minorEastAsia"/>
        </w:rPr>
      </w:pPr>
    </w:p>
    <w:p w14:paraId="64CCDC59" w14:textId="77777777" w:rsidR="00AF49E2" w:rsidRDefault="007D11E7" w:rsidP="009C586B">
      <w:pPr>
        <w:rPr>
          <w:rFonts w:eastAsiaTheme="minorEastAsia"/>
        </w:rPr>
      </w:pPr>
      <w:r>
        <w:rPr>
          <w:rFonts w:eastAsiaTheme="minorEastAsia"/>
        </w:rPr>
        <w:t xml:space="preserve">So both </w:t>
      </w: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oMath>
      <w:r>
        <w:rPr>
          <w:rFonts w:eastAsiaTheme="minorEastAsia"/>
        </w:rPr>
        <w:t xml:space="preserve"> and </w:t>
      </w: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oMath>
      <w:r>
        <w:rPr>
          <w:rFonts w:eastAsiaTheme="minorEastAsia"/>
        </w:rPr>
        <w:t xml:space="preserve"> denote the same scalar score (the logit) for vocabulary token </w:t>
      </w:r>
      <m:oMath>
        <m:r>
          <w:rPr>
            <w:rFonts w:ascii="Cambria Math" w:eastAsiaTheme="minorEastAsia" w:hAnsi="Cambria Math"/>
          </w:rPr>
          <m:t>v</m:t>
        </m:r>
      </m:oMath>
      <w:r>
        <w:rPr>
          <w:rFonts w:eastAsiaTheme="minorEastAsia"/>
        </w:rPr>
        <w:t xml:space="preserve"> after position </w:t>
      </w:r>
      <m:oMath>
        <m:r>
          <w:rPr>
            <w:rFonts w:ascii="Cambria Math" w:eastAsiaTheme="minorEastAsia" w:hAnsi="Cambria Math"/>
          </w:rPr>
          <m:t>t</m:t>
        </m:r>
      </m:oMath>
      <w:r>
        <w:rPr>
          <w:rFonts w:eastAsiaTheme="minorEastAsia"/>
        </w:rPr>
        <w:t xml:space="preserve"> in the sequence.</w:t>
      </w:r>
    </w:p>
    <w:p w14:paraId="222E2FCE" w14:textId="77777777" w:rsidR="00673F0F" w:rsidRDefault="007D11E7" w:rsidP="009C586B">
      <w:pPr>
        <w:rPr>
          <w:rFonts w:eastAsiaTheme="minorEastAsia"/>
        </w:rPr>
      </w:pPr>
      <w:r>
        <w:rPr>
          <w:rFonts w:eastAsiaTheme="minorEastAsia"/>
        </w:rPr>
        <w:t xml:space="preserve">Both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w:t>
      </w:r>
      <m:oMath>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oMath>
      <w:r>
        <w:rPr>
          <w:rFonts w:eastAsiaTheme="minorEastAsia"/>
        </w:rPr>
        <w:t xml:space="preserve"> denote the hidden state of the </w:t>
      </w:r>
      <w:r w:rsidRPr="007D11E7">
        <w:rPr>
          <w:rFonts w:eastAsiaTheme="minorEastAsia"/>
          <w:i/>
          <w:iCs/>
        </w:rPr>
        <w:t>final layer</w:t>
      </w:r>
      <w:r>
        <w:rPr>
          <w:rFonts w:eastAsiaTheme="minorEastAsia"/>
        </w:rPr>
        <w:t xml:space="preserve"> </w:t>
      </w:r>
      <w:r w:rsidR="00673F0F">
        <w:rPr>
          <w:rFonts w:eastAsiaTheme="minorEastAsia"/>
        </w:rPr>
        <w:t xml:space="preserve">at token position </w:t>
      </w:r>
      <m:oMath>
        <m:r>
          <w:rPr>
            <w:rFonts w:ascii="Cambria Math" w:eastAsiaTheme="minorEastAsia" w:hAnsi="Cambria Math"/>
          </w:rPr>
          <m:t>t</m:t>
        </m:r>
      </m:oMath>
      <w:r w:rsidR="00673F0F">
        <w:rPr>
          <w:rFonts w:eastAsiaTheme="minorEastAsia"/>
        </w:rPr>
        <w:t xml:space="preserve"> in the sequence.</w:t>
      </w:r>
    </w:p>
    <w:p w14:paraId="60ECB3C5" w14:textId="77777777" w:rsidR="00B44DE6" w:rsidRDefault="00673F0F" w:rsidP="009C586B">
      <w:pPr>
        <w:rPr>
          <w:rFonts w:eastAsiaTheme="minorEastAsia"/>
        </w:rPr>
      </w:pPr>
      <w:r>
        <w:rPr>
          <w:rFonts w:eastAsiaTheme="minorEastAsia"/>
        </w:rPr>
        <w:t xml:space="preserve">We will use both </w:t>
      </w:r>
      <w:r w:rsidR="00B44DE6">
        <w:rPr>
          <w:rFonts w:eastAsiaTheme="minorEastAsia"/>
        </w:rPr>
        <w:t>notations</w:t>
      </w:r>
      <w:r>
        <w:rPr>
          <w:rFonts w:eastAsiaTheme="minorEastAsia"/>
        </w:rPr>
        <w:t xml:space="preserve"> to denote the same quantity depending on the context where the token position can be omitted or should be made explicit.</w:t>
      </w:r>
    </w:p>
    <w:p w14:paraId="73B986C6" w14:textId="77777777" w:rsidR="00BF1FB7" w:rsidRDefault="00BF1FB7" w:rsidP="009C586B">
      <w:pPr>
        <w:rPr>
          <w:rFonts w:eastAsiaTheme="minorEastAsia"/>
        </w:rPr>
      </w:pPr>
    </w:p>
    <w:p w14:paraId="2F743D96" w14:textId="77777777" w:rsidR="00B67CEA" w:rsidRDefault="00B67CEA" w:rsidP="00B67CEA">
      <w:pPr>
        <w:rPr>
          <w:rFonts w:eastAsiaTheme="minorEastAsia"/>
        </w:rPr>
      </w:pPr>
      <w:r>
        <w:t>The full logit matrix for one forward pass is then all these inner products stacked:</w:t>
      </w:r>
    </w:p>
    <w:p w14:paraId="196B6D73" w14:textId="77777777" w:rsidR="00B67CEA" w:rsidRDefault="00B67CEA" w:rsidP="009C586B">
      <w:pPr>
        <w:rPr>
          <w:rFonts w:eastAsiaTheme="minorEastAsia"/>
        </w:rPr>
      </w:pPr>
    </w:p>
    <w:p w14:paraId="495292F8" w14:textId="77777777" w:rsidR="00B67CEA" w:rsidRDefault="00000000" w:rsidP="009C586B">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m:rPr>
                  <m:nor/>
                </m:rPr>
                <w:rPr>
                  <w:rFonts w:ascii="Cambria Math" w:hAnsi="Cambria Math"/>
                </w:rPr>
                <m:t>Rfor all </m:t>
              </m:r>
              <m:r>
                <w:rPr>
                  <w:rFonts w:ascii="Cambria Math" w:hAnsi="Cambria Math"/>
                </w:rPr>
                <m:t>t</m:t>
              </m:r>
              <m:r>
                <m:rPr>
                  <m:sty m:val="p"/>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T</m:t>
              </m:r>
              <m:r>
                <m:rPr>
                  <m:sty m:val="p"/>
                </m:rPr>
                <w:rPr>
                  <w:rFonts w:ascii="Cambria Math" w:hAnsi="Cambria Math"/>
                </w:rPr>
                <m:t>},</m:t>
              </m:r>
              <m:r>
                <m:rPr>
                  <m:nor/>
                </m:rPr>
                <w:rPr>
                  <w:rFonts w:ascii="Cambria Math" w:hAnsi="Cambria Math"/>
                </w:rPr>
                <m:t> </m:t>
              </m:r>
              <m:r>
                <w:rPr>
                  <w:rFonts w:ascii="Cambria Math" w:hAnsi="Cambria Math"/>
                </w:rPr>
                <m:t>v</m:t>
              </m:r>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-1}</m:t>
              </m:r>
              <m:r>
                <m:rPr>
                  <m:nor/>
                </m:rPr>
                <w:rPr>
                  <w:rFonts w:ascii="Cambria Math" w:hAnsi="Cambria Math"/>
                </w:rPr>
                <m:t>(log.3)</m:t>
              </m:r>
            </m:e>
          </m:box>
        </m:oMath>
      </m:oMathPara>
    </w:p>
    <w:p w14:paraId="7FDD04CA" w14:textId="77777777" w:rsidR="00B67CEA" w:rsidRDefault="00B67CEA" w:rsidP="009C586B">
      <w:pPr>
        <w:rPr>
          <w:rFonts w:eastAsiaTheme="minorEastAsia"/>
        </w:rPr>
      </w:pPr>
    </w:p>
    <w:p w14:paraId="5D0DAB46" w14:textId="77777777" w:rsidR="00B67CEA" w:rsidRDefault="00B67CEA" w:rsidP="009C586B">
      <w:pPr>
        <w:rPr>
          <w:rFonts w:eastAsiaTheme="minorEastAsia"/>
        </w:rPr>
      </w:pPr>
      <w:r>
        <w:t xml:space="preserve">or equivalently as the matrix product, with </w:t>
      </w:r>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d</m:t>
                    </m:r>
                  </m:e>
                </m:box>
              </m:sup>
            </m:sSup>
          </m:e>
        </m:box>
      </m:oMath>
      <w:r>
        <w:t xml:space="preserve"> whose </w:t>
      </w:r>
      <m:oMath>
        <m:box>
          <m:boxPr>
            <m:ctrlPr>
              <w:rPr>
                <w:rFonts w:ascii="Cambria Math" w:hAnsi="Cambria Math"/>
              </w:rPr>
            </m:ctrlPr>
          </m:boxPr>
          <m:e>
            <m:r>
              <w:rPr>
                <w:rFonts w:ascii="Cambria Math" w:hAnsi="Cambria Math"/>
              </w:rPr>
              <m:t>t</m:t>
            </m:r>
          </m:e>
        </m:box>
      </m:oMath>
      <w:r>
        <w:t xml:space="preserve">-th row is </w:t>
      </w:r>
      <m:oMath>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e>
        </m:box>
      </m:oMath>
    </w:p>
    <w:p w14:paraId="707079DD" w14:textId="77777777" w:rsidR="00B67CEA" w:rsidRDefault="00B67CEA" w:rsidP="009C586B">
      <w:pPr>
        <w:rPr>
          <w:rFonts w:eastAsiaTheme="minorEastAsia"/>
        </w:rPr>
      </w:pPr>
    </w:p>
    <w:p w14:paraId="26000088" w14:textId="77777777" w:rsidR="00B67CEA" w:rsidRDefault="00000000" w:rsidP="009C586B">
      <w:pPr>
        <w:rPr>
          <w:rFonts w:eastAsiaTheme="minorEastAsia"/>
        </w:rPr>
      </w:pPr>
      <m:oMathPara>
        <m:oMath>
          <m:box>
            <m:boxPr>
              <m:ctrlPr>
                <w:rPr>
                  <w:rFonts w:ascii="Cambria Math" w:hAnsi="Cambria Math"/>
                </w:rPr>
              </m:ctrlPr>
            </m:boxPr>
            <m:e>
              <m: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p>
              </m:sSup>
              <m:r>
                <m:rPr>
                  <m:nor/>
                </m:rPr>
                <w:rPr>
                  <w:rFonts w:ascii="Cambria Math" w:hAnsi="Cambria Math"/>
                </w:rPr>
                <m:t>(log.4)</m:t>
              </m:r>
            </m:e>
          </m:box>
        </m:oMath>
      </m:oMathPara>
    </w:p>
    <w:p w14:paraId="692134F3" w14:textId="77777777" w:rsidR="00B67CEA" w:rsidRDefault="00B67CEA" w:rsidP="009C586B">
      <w:pPr>
        <w:rPr>
          <w:rFonts w:eastAsiaTheme="minorEastAsia"/>
        </w:rPr>
      </w:pPr>
    </w:p>
    <w:p w14:paraId="39F93C6C" w14:textId="77777777" w:rsidR="003F5E1B" w:rsidRDefault="00123139" w:rsidP="009C586B">
      <w:pPr>
        <w:rPr>
          <w:rFonts w:eastAsiaTheme="minorEastAsia"/>
        </w:rPr>
      </w:pPr>
      <w:r>
        <w:t xml:space="preserve">We get one such number for every token in the vocabulary, so the full logit vector at a single position (column convention, matching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below) is</w:t>
      </w:r>
    </w:p>
    <w:p w14:paraId="298FD586" w14:textId="77777777" w:rsidR="009C3A87" w:rsidRDefault="009C3A87" w:rsidP="009C586B">
      <w:pPr>
        <w:rPr>
          <w:rFonts w:eastAsiaTheme="minorEastAsia"/>
        </w:rPr>
      </w:pPr>
    </w:p>
    <w:p w14:paraId="0DFF4ACD" w14:textId="77777777" w:rsidR="009C3A87" w:rsidRDefault="00000000" w:rsidP="009C586B">
      <w:pPr>
        <w:rPr>
          <w:rFonts w:eastAsiaTheme="minorEastAsia"/>
        </w:rPr>
      </w:pPr>
      <m:oMathPara>
        <m:oMath>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E</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V</m:t>
                      </m:r>
                    </m:e>
                  </m:box>
                </m:sup>
              </m:sSup>
              <m:r>
                <m:rPr>
                  <m:nor/>
                </m:rPr>
                <w:rPr>
                  <w:rFonts w:ascii="Cambria Math" w:hAnsi="Cambria Math"/>
                </w:rPr>
                <m:t>(log.5)</m:t>
              </m:r>
            </m:e>
          </m:box>
        </m:oMath>
      </m:oMathPara>
    </w:p>
    <w:p w14:paraId="15E55B23" w14:textId="77777777" w:rsidR="009C3A87" w:rsidRDefault="009C3A87" w:rsidP="009C586B">
      <w:pPr>
        <w:rPr>
          <w:rFonts w:eastAsiaTheme="minorEastAsia"/>
        </w:rPr>
      </w:pPr>
    </w:p>
    <w:p w14:paraId="1AE61E31" w14:textId="77777777" w:rsidR="00B44DE6" w:rsidRDefault="00B44DE6" w:rsidP="009C586B">
      <w:pPr>
        <w:rPr>
          <w:rFonts w:eastAsiaTheme="minorEastAsia"/>
        </w:rPr>
      </w:pPr>
    </w:p>
    <w:p w14:paraId="0920F46D" w14:textId="77777777" w:rsidR="009C3A87" w:rsidRDefault="001726C3" w:rsidP="009C586B">
      <w:pPr>
        <w:rPr>
          <w:rFonts w:eastAsiaTheme="minorEastAsia"/>
        </w:rPr>
      </w:pPr>
      <w:r>
        <w:rPr>
          <w:rFonts w:eastAsiaTheme="minorEastAsia"/>
        </w:rPr>
        <w:t xml:space="preserve">These raw scores have no direct probabilistic meaning yet – they can be any real number, positive or negative, and they do not sum to </w:t>
      </w:r>
      <m:oMath>
        <m:r>
          <w:rPr>
            <w:rFonts w:ascii="Cambria Math" w:eastAsiaTheme="minorEastAsia" w:hAnsi="Cambria Math"/>
          </w:rPr>
          <m:t>1</m:t>
        </m:r>
      </m:oMath>
      <w:r>
        <w:rPr>
          <w:rFonts w:eastAsiaTheme="minorEastAsia"/>
        </w:rPr>
        <w:t xml:space="preserve">. </w:t>
      </w:r>
      <w:r w:rsidR="00940171">
        <w:rPr>
          <w:rFonts w:eastAsiaTheme="minorEastAsia"/>
        </w:rPr>
        <w:t xml:space="preserve">The word “logit” comes from statistics where it refers to the log-odds of probability, but in deep learning it has been adopted more loosely to mean any pre-softmax score. To turn logits into proper probability distribution we apply </w:t>
      </w:r>
      <w:r w:rsidR="00940171" w:rsidRPr="007F316C">
        <w:rPr>
          <w:rFonts w:ascii="Consolas" w:eastAsiaTheme="minorEastAsia" w:hAnsi="Consolas" w:cs="Consolas"/>
          <w:sz w:val="17"/>
          <w:szCs w:val="17"/>
        </w:rPr>
        <w:t>softmax</w:t>
      </w:r>
      <w:r w:rsidR="00940171">
        <w:rPr>
          <w:rFonts w:eastAsiaTheme="minorEastAsia"/>
        </w:rPr>
        <w:t>:</w:t>
      </w:r>
    </w:p>
    <w:p w14:paraId="504DBD08" w14:textId="77777777" w:rsidR="00940171" w:rsidRDefault="00940171" w:rsidP="009C586B">
      <w:pPr>
        <w:rPr>
          <w:rFonts w:eastAsiaTheme="minorEastAsia"/>
        </w:rPr>
      </w:pPr>
    </w:p>
    <w:p w14:paraId="5159C807" w14:textId="77777777" w:rsidR="00940171" w:rsidRDefault="007F316C" w:rsidP="009C586B">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v</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num>
          <m:den>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up/>
              <m:e>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Sub>
                  </m:e>
                </m:func>
              </m:e>
            </m:nary>
          </m:den>
        </m:f>
      </m:oMath>
      <w:r>
        <w:rPr>
          <w:rFonts w:eastAsiaTheme="minorEastAsia"/>
        </w:rPr>
        <w:t xml:space="preserve"> </w:t>
      </w:r>
      <w:r w:rsidR="00AF49E2">
        <w:rPr>
          <w:rFonts w:eastAsiaTheme="minorEastAsia"/>
        </w:rPr>
        <w:t xml:space="preserve">   (lpr.1)</w:t>
      </w:r>
    </w:p>
    <w:p w14:paraId="7C5B9280" w14:textId="77777777" w:rsidR="007F316C" w:rsidRDefault="007F316C" w:rsidP="009C586B">
      <w:pPr>
        <w:rPr>
          <w:rFonts w:eastAsiaTheme="minorEastAsia"/>
        </w:rPr>
      </w:pPr>
    </w:p>
    <w:p w14:paraId="60103029" w14:textId="77777777" w:rsidR="007F316C" w:rsidRDefault="007F316C" w:rsidP="009C586B">
      <w:pPr>
        <w:rPr>
          <w:rFonts w:eastAsiaTheme="minorEastAsia"/>
        </w:rPr>
      </w:pPr>
      <w:r>
        <w:rPr>
          <w:rFonts w:eastAsiaTheme="minorEastAsia"/>
        </w:rPr>
        <w:t xml:space="preserve">In this context the term </w:t>
      </w:r>
      <w:r w:rsidRPr="007F316C">
        <w:rPr>
          <w:rFonts w:eastAsiaTheme="minorEastAsia"/>
          <w:i/>
          <w:iCs/>
        </w:rPr>
        <w:t>top token</w:t>
      </w:r>
      <w:r>
        <w:rPr>
          <w:rFonts w:eastAsiaTheme="minorEastAsia"/>
        </w:rPr>
        <w:t xml:space="preserve"> is the token our model considers most likely which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argmax</m:t>
                </m:r>
              </m:e>
              <m:lim>
                <m:r>
                  <w:rPr>
                    <w:rFonts w:ascii="Cambria Math" w:eastAsiaTheme="minorEastAsia" w:hAnsi="Cambria Math"/>
                  </w:rPr>
                  <m:t>v</m:t>
                </m:r>
              </m:lim>
            </m:limLow>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oMath>
      <w:r w:rsidR="00EB7C33">
        <w:rPr>
          <w:rFonts w:eastAsiaTheme="minorEastAsia"/>
        </w:rPr>
        <w:t>.</w:t>
      </w:r>
    </w:p>
    <w:p w14:paraId="681471E1" w14:textId="77777777" w:rsidR="00EB7C33" w:rsidRPr="009C3A87" w:rsidRDefault="00EB7C33" w:rsidP="009C586B">
      <w:pPr>
        <w:rPr>
          <w:rFonts w:eastAsiaTheme="minorEastAsia"/>
        </w:rPr>
      </w:pP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w:t>
      </w:r>
      <w:r w:rsidR="00F42A4B">
        <w:rPr>
          <w:rFonts w:eastAsiaTheme="minorEastAsia"/>
        </w:rPr>
        <w:t xml:space="preserve">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F42A4B">
        <w:rPr>
          <w:rFonts w:eastAsiaTheme="minorEastAsia"/>
        </w:rPr>
        <w:t xml:space="preserve"> and then looking at which tokens have the highest scores – those are the tokens the attractor represents semantically. </w:t>
      </w:r>
    </w:p>
    <w:p w14:paraId="7361AE89" w14:textId="77777777" w:rsidR="003F5E1B" w:rsidRDefault="003F5E1B" w:rsidP="009C586B">
      <w:pPr>
        <w:rPr>
          <w:rFonts w:eastAsiaTheme="minorEastAsia"/>
        </w:rPr>
      </w:pPr>
    </w:p>
    <w:p w14:paraId="0571A9E5" w14:textId="77777777" w:rsidR="003F5E1B" w:rsidRDefault="00300BB2" w:rsidP="00300BB2">
      <w:pPr>
        <w:pStyle w:val="Heading2"/>
      </w:pPr>
      <w:bookmarkStart w:id="62" w:name="_Toc240119410"/>
      <w:r>
        <w:t>Note on SARF-faithful mass</w:t>
      </w:r>
      <w:bookmarkEnd w:id="62"/>
    </w:p>
    <w:p w14:paraId="748F6DDC" w14:textId="77777777" w:rsidR="00300BB2" w:rsidRDefault="00300BB2" w:rsidP="009C586B"/>
    <w:p w14:paraId="3D768F8D" w14:textId="77777777" w:rsidR="00F81C50" w:rsidRDefault="00E2285B" w:rsidP="009C586B">
      <w:r>
        <w:t xml:space="preserve">The term “SARF-faithful mass” denotes two separate implementations of semantic mass which are related to the Semantic Simulation framework descriptive part. </w:t>
      </w:r>
    </w:p>
    <w:p w14:paraId="086DED2B" w14:textId="77777777" w:rsidR="00784AAC" w:rsidRDefault="00784AAC" w:rsidP="009C586B"/>
    <w:p w14:paraId="7C302F08" w14:textId="77777777" w:rsidR="00784AAC" w:rsidRDefault="00784AAC" w:rsidP="009C586B">
      <w:pPr>
        <w:rPr>
          <w:rFonts w:eastAsiaTheme="minorEastAsia"/>
        </w:rPr>
      </w:pPr>
      <w:r w:rsidRPr="00930F59">
        <w:rPr>
          <w:b/>
          <w:bCs/>
        </w:rPr>
        <w:t>Component 1</w:t>
      </w:r>
      <w:r>
        <w:t xml:space="preserve">: SARF-faithful </w:t>
      </w:r>
      <m:oMath>
        <m:r>
          <w:rPr>
            <w:rFonts w:ascii="Cambria Math" w:hAnsi="Cambria Math"/>
          </w:rPr>
          <m:t>ξ</m:t>
        </m:r>
      </m:oMath>
      <w:r>
        <w:rPr>
          <w:rFonts w:eastAsiaTheme="minorEastAsia"/>
        </w:rPr>
        <w:t xml:space="preserve"> ( Section 1</w:t>
      </w:r>
      <w:r w:rsidR="006C1B9A">
        <w:rPr>
          <w:rFonts w:eastAsiaTheme="minorEastAsia"/>
        </w:rPr>
        <w:t>5</w:t>
      </w:r>
      <w:r>
        <w:rPr>
          <w:rFonts w:eastAsiaTheme="minorEastAsia"/>
        </w:rPr>
        <w:t>.1</w:t>
      </w:r>
      <w:r w:rsidR="006C1B9A">
        <w:rPr>
          <w:rFonts w:eastAsiaTheme="minorEastAsia"/>
        </w:rPr>
        <w:t>6</w:t>
      </w:r>
      <w:r>
        <w:rPr>
          <w:rFonts w:eastAsiaTheme="minorEastAsia"/>
        </w:rPr>
        <w:t xml:space="preserve"> of [1] )</w:t>
      </w:r>
    </w:p>
    <w:p w14:paraId="5F8950BF" w14:textId="77777777" w:rsidR="00784AAC" w:rsidRDefault="00784AAC" w:rsidP="009C586B">
      <w:pPr>
        <w:rPr>
          <w:rFonts w:eastAsiaTheme="minorEastAsia"/>
        </w:rPr>
      </w:pPr>
    </w:p>
    <w:p w14:paraId="31EB9F8E" w14:textId="77777777" w:rsidR="00784AAC" w:rsidRDefault="00C53D61" w:rsidP="009C586B">
      <w:pPr>
        <w:rPr>
          <w:rFonts w:eastAsiaTheme="minorEastAsia"/>
        </w:rPr>
      </w:pPr>
      <w:r>
        <w:rPr>
          <w:rFonts w:eastAsiaTheme="minorEastAsia"/>
        </w:rPr>
        <w:t xml:space="preserve">In the baseline SPLM, the context vector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Pr>
          <w:rFonts w:eastAsiaTheme="minorEastAsia"/>
        </w:rPr>
        <w:t xml:space="preserve"> </w:t>
      </w:r>
      <w:r w:rsidR="007C488F">
        <w:rPr>
          <w:rFonts w:eastAsiaTheme="minorEastAsia"/>
        </w:rPr>
        <w:t xml:space="preserve">(causal cumulative mean of the embedding sequence) is computed once from the input embeddings before the integration loop and held fixed for all </w:t>
      </w:r>
      <m:oMath>
        <m:r>
          <w:rPr>
            <w:rFonts w:ascii="Cambria Math" w:eastAsiaTheme="minorEastAsia" w:hAnsi="Cambria Math"/>
          </w:rPr>
          <m:t>L</m:t>
        </m:r>
      </m:oMath>
      <w:r w:rsidR="007C488F">
        <w:rPr>
          <w:rFonts w:eastAsiaTheme="minorEastAsia"/>
        </w:rPr>
        <w:t xml:space="preserve"> Euler steps.</w:t>
      </w:r>
      <w:r w:rsidR="003218B9">
        <w:rPr>
          <w:rFonts w:eastAsiaTheme="minorEastAsia"/>
        </w:rPr>
        <w:t xml:space="preserve"> The SARF-faithful variant re-derives </w:t>
      </w:r>
      <m:oMath>
        <m:r>
          <w:rPr>
            <w:rFonts w:ascii="Cambria Math" w:hAnsi="Cambria Math"/>
          </w:rPr>
          <m:t>ξ</m:t>
        </m:r>
      </m:oMath>
      <w:r w:rsidR="003218B9">
        <w:rPr>
          <w:rFonts w:eastAsiaTheme="minorEastAsia"/>
        </w:rPr>
        <w:t xml:space="preserve"> from the </w:t>
      </w:r>
      <w:r w:rsidR="003218B9" w:rsidRPr="003218B9">
        <w:rPr>
          <w:rFonts w:eastAsiaTheme="minorEastAsia"/>
          <w:i/>
          <w:iCs/>
        </w:rPr>
        <w:t>current</w:t>
      </w:r>
      <w:r w:rsidR="003218B9">
        <w:rPr>
          <w:rFonts w:eastAsiaTheme="minorEastAsia"/>
        </w:rPr>
        <w:t xml:space="preserve"> hidden states at every integration step </w:t>
      </w:r>
      <m:oMath>
        <m:r>
          <w:rPr>
            <w:rFonts w:ascii="Cambria Math" w:eastAsiaTheme="minorEastAsia" w:hAnsi="Cambria Math"/>
          </w:rPr>
          <m:t>l</m:t>
        </m:r>
      </m:oMath>
      <w:r w:rsidR="003218B9">
        <w:rPr>
          <w:rFonts w:eastAsiaTheme="minorEastAsia"/>
        </w:rPr>
        <w:t>:</w:t>
      </w:r>
    </w:p>
    <w:p w14:paraId="3754E134" w14:textId="77777777" w:rsidR="003218B9" w:rsidRDefault="003218B9" w:rsidP="009C586B">
      <w:pPr>
        <w:rPr>
          <w:rFonts w:eastAsiaTheme="minorEastAsia"/>
        </w:rPr>
      </w:pPr>
    </w:p>
    <w:p w14:paraId="4E5060D4" w14:textId="77777777" w:rsidR="003218B9" w:rsidRDefault="00000000" w:rsidP="009C586B">
      <w:pPr>
        <w:rPr>
          <w:rFonts w:eastAsiaTheme="minorEastAsia"/>
        </w:rP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ξ</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r>
                <m:rPr>
                  <m:nor/>
                </m:rPr>
                <w:rPr>
                  <w:rFonts w:ascii="Cambria Math" w:hAnsi="Cambria Math"/>
                </w:rPr>
                <m:t>CausalMean</m:t>
              </m:r>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t</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r>
                        <m:rPr>
                          <m:sty m:val="p"/>
                        </m:rPr>
                        <w:rPr>
                          <w:rFonts w:ascii="Cambria Math" w:hAnsi="Cambria Math"/>
                        </w:rPr>
                        <m:t>=1</m:t>
                      </m:r>
                    </m:e>
                  </m:box>
                </m:sub>
                <m:sup>
                  <m:box>
                    <m:boxPr>
                      <m:ctrlPr>
                        <w:rPr>
                          <w:rFonts w:ascii="Cambria Math" w:hAnsi="Cambria Math"/>
                        </w:rPr>
                      </m:ctrlPr>
                    </m:boxPr>
                    <m:e>
                      <m:r>
                        <w:rPr>
                          <w:rFonts w:ascii="Cambria Math" w:hAnsi="Cambria Math"/>
                        </w:rPr>
                        <m:t>t</m:t>
                      </m:r>
                    </m:e>
                  </m:box>
                </m:sup>
                <m:e>
                  <m:sSubSup>
                    <m:sSubSupPr>
                      <m:ctrlPr>
                        <w:rPr>
                          <w:rFonts w:ascii="Cambria Math" w:hAnsi="Cambria Math"/>
                        </w:rPr>
                      </m:ctrlPr>
                    </m:sSubSupPr>
                    <m:e>
                      <m:r>
                        <w:rPr>
                          <w:rFonts w:ascii="Cambria Math" w:hAnsi="Cambria Math"/>
                        </w:rPr>
                        <m:t>h</m:t>
                      </m:r>
                    </m:e>
                    <m:sub>
                      <m:r>
                        <w:rPr>
                          <w:rFonts w:ascii="Cambria Math" w:hAnsi="Cambria Math"/>
                        </w:rPr>
                        <m:t>s</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e>
              </m:nary>
              <m:r>
                <m:rPr>
                  <m:nor/>
                </m:rPr>
                <w:rPr>
                  <w:rFonts w:ascii="Cambria Math" w:hAnsi="Cambria Math"/>
                </w:rPr>
                <m:t>(avg.1)</m:t>
              </m:r>
            </m:e>
          </m:box>
        </m:oMath>
      </m:oMathPara>
    </w:p>
    <w:p w14:paraId="7C9F9627" w14:textId="77777777" w:rsidR="00990BAB" w:rsidRDefault="00990BAB" w:rsidP="009C586B">
      <w:pPr>
        <w:rPr>
          <w:rFonts w:eastAsiaTheme="minorEastAsia"/>
        </w:rPr>
      </w:pPr>
    </w:p>
    <w:p w14:paraId="11506103" w14:textId="77777777" w:rsidR="009B2909" w:rsidRDefault="007B69CC" w:rsidP="009C586B">
      <w:pPr>
        <w:rPr>
          <w:rFonts w:eastAsiaTheme="minorEastAsia"/>
        </w:rPr>
      </w:pPr>
      <m:oMath>
        <m:r>
          <m:rPr>
            <m:sty m:val="p"/>
          </m:rPr>
          <w:rPr>
            <w:rFonts w:ascii="Cambria Math" w:eastAsiaTheme="minorEastAsia" w:hAnsi="Cambria Math"/>
          </w:rPr>
          <m:t>CausalMean</m:t>
        </m:r>
      </m:oMath>
      <w:r>
        <w:rPr>
          <w:rFonts w:eastAsiaTheme="minorEastAsia"/>
        </w:rPr>
        <w:t xml:space="preserve"> guarantees that each token at posit</w:t>
      </w:r>
      <w:r w:rsidRPr="007B69CC">
        <w:rPr>
          <w:rFonts w:eastAsiaTheme="minorEastAsia"/>
        </w:rPr>
        <w:t xml:space="preserve">ion </w:t>
      </w:r>
      <m:oMath>
        <m:r>
          <w:rPr>
            <w:rFonts w:ascii="Cambria Math" w:eastAsiaTheme="minorEastAsia" w:hAnsi="Cambria Math"/>
          </w:rPr>
          <m:t>t</m:t>
        </m:r>
      </m:oMath>
      <w:r w:rsidRPr="007B69CC">
        <w:rPr>
          <w:rFonts w:eastAsiaTheme="minorEastAsia"/>
        </w:rPr>
        <w:t xml:space="preserve"> sees</w:t>
      </w:r>
      <w:r>
        <w:rPr>
          <w:rFonts w:eastAsiaTheme="minorEastAsia"/>
        </w:rPr>
        <w:t xml:space="preserve"> only the mean of itself and all preceding tokens – never future tokens. </w:t>
      </w:r>
      <w:r w:rsidR="006618F7">
        <w:rPr>
          <w:rFonts w:eastAsiaTheme="minorEastAsia"/>
        </w:rPr>
        <w:t xml:space="preserve">This literally realizes </w:t>
      </w:r>
      <w:r w:rsidR="007A13DC">
        <w:rPr>
          <w:rFonts w:eastAsiaTheme="minorEastAsia"/>
        </w:rPr>
        <w:t xml:space="preserve">the time-dependent reinforcement field </w:t>
      </w:r>
      <w:r w:rsidR="009B2909">
        <w:rPr>
          <w:rFonts w:eastAsiaTheme="minorEastAsia"/>
        </w:rPr>
        <w:t xml:space="preserve">with force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h,t</m:t>
            </m:r>
          </m:e>
        </m:d>
      </m:oMath>
      <w:r w:rsidR="009B2909">
        <w:rPr>
          <w:rFonts w:eastAsiaTheme="minorEastAsia"/>
        </w:rPr>
        <w:t xml:space="preserve"> </w:t>
      </w:r>
      <w:r w:rsidR="007A13DC">
        <w:rPr>
          <w:rFonts w:eastAsiaTheme="minorEastAsia"/>
        </w:rPr>
        <w:t>from Section 6 of [1]</w:t>
      </w:r>
      <w:r w:rsidR="009B2909">
        <w:rPr>
          <w:rFonts w:eastAsiaTheme="minorEastAsia"/>
        </w:rPr>
        <w:t>.</w:t>
      </w:r>
    </w:p>
    <w:p w14:paraId="53A679E5" w14:textId="77777777" w:rsidR="009B2909" w:rsidRDefault="009B2909" w:rsidP="009C586B">
      <w:pPr>
        <w:rPr>
          <w:rFonts w:eastAsiaTheme="minorEastAsia"/>
        </w:rPr>
      </w:pPr>
      <w:r>
        <w:rPr>
          <w:rFonts w:eastAsiaTheme="minorEastAsia"/>
        </w:rPr>
        <w:t>In this context the reinforcement field force is simply</w:t>
      </w:r>
    </w:p>
    <w:p w14:paraId="349F1CCF" w14:textId="77777777" w:rsidR="009B2909" w:rsidRDefault="009B2909" w:rsidP="009C586B">
      <w:pPr>
        <w:rPr>
          <w:rFonts w:eastAsiaTheme="minorEastAsia"/>
        </w:rPr>
      </w:pPr>
    </w:p>
    <w:p w14:paraId="57210A23" w14:textId="77777777" w:rsidR="007A13DC" w:rsidRDefault="009B2909" w:rsidP="009C586B">
      <w:pPr>
        <w:rPr>
          <w:rFonts w:eastAsiaTheme="minorEastAsia"/>
        </w:rPr>
      </w:pPr>
      <w:r>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h,l</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CF5125">
        <w:rPr>
          <w:rFonts w:eastAsiaTheme="minorEastAsia"/>
        </w:rPr>
        <w:t xml:space="preserve">     (rif.1)</w:t>
      </w:r>
    </w:p>
    <w:p w14:paraId="298ED1DC" w14:textId="77777777" w:rsidR="006618F7" w:rsidRDefault="006618F7" w:rsidP="009C586B">
      <w:pPr>
        <w:rPr>
          <w:rFonts w:eastAsiaTheme="minorEastAsia"/>
        </w:rPr>
      </w:pPr>
      <w:r>
        <w:rPr>
          <w:rFonts w:eastAsiaTheme="minorEastAsia"/>
        </w:rPr>
        <w:t xml:space="preserve"> </w:t>
      </w:r>
    </w:p>
    <w:p w14:paraId="6715A309" w14:textId="77777777" w:rsidR="006618F7" w:rsidRDefault="006618F7" w:rsidP="009C586B">
      <w:pPr>
        <w:rPr>
          <w:rFonts w:eastAsiaTheme="minorEastAsia"/>
        </w:rPr>
      </w:pPr>
    </w:p>
    <w:p w14:paraId="441C805D" w14:textId="77777777" w:rsidR="00990BAB" w:rsidRDefault="000577E5" w:rsidP="009C586B">
      <w:pPr>
        <w:rPr>
          <w:rFonts w:eastAsiaTheme="minorEastAsia"/>
        </w:rPr>
      </w:pPr>
      <w:r>
        <w:rPr>
          <w:rFonts w:eastAsiaTheme="minorEastAsia"/>
        </w:rPr>
        <w:t xml:space="preserve">In the multi-channel </w:t>
      </w:r>
      <m:oMath>
        <m:r>
          <w:rPr>
            <w:rFonts w:ascii="Cambria Math" w:eastAsiaTheme="minorEastAsia" w:hAnsi="Cambria Math"/>
          </w:rPr>
          <m:t>ξ</m:t>
        </m:r>
      </m:oMath>
      <w:r>
        <w:rPr>
          <w:rFonts w:eastAsiaTheme="minorEastAsia"/>
        </w:rPr>
        <w:t xml:space="preserve"> variant </w:t>
      </w:r>
      <w:r w:rsidR="00250622">
        <w:rPr>
          <w:rFonts w:eastAsiaTheme="minorEastAsia"/>
        </w:rPr>
        <w:t xml:space="preserve">the simple mean is replaced by exponential moving averages with different decay rates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250622">
        <w:rPr>
          <w:rFonts w:eastAsiaTheme="minorEastAsia"/>
        </w:rPr>
        <w:t>:</w:t>
      </w:r>
    </w:p>
    <w:p w14:paraId="14753F70" w14:textId="77777777" w:rsidR="00250622" w:rsidRDefault="00250622" w:rsidP="009C586B">
      <w:pPr>
        <w:rPr>
          <w:rFonts w:eastAsiaTheme="minorEastAsia"/>
        </w:rPr>
      </w:pPr>
    </w:p>
    <w:p w14:paraId="710F6262" w14:textId="77777777" w:rsidR="00250622" w:rsidRDefault="00000000" w:rsidP="009C586B">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5015AE">
        <w:rPr>
          <w:rFonts w:eastAsiaTheme="minorEastAsia"/>
        </w:rPr>
        <w:t xml:space="preserve">        (ema.1)</w:t>
      </w:r>
    </w:p>
    <w:p w14:paraId="763E3A5E" w14:textId="77777777" w:rsidR="007B69CC" w:rsidRDefault="007B69CC" w:rsidP="009C586B">
      <w:pPr>
        <w:rPr>
          <w:rFonts w:eastAsiaTheme="minorEastAsia"/>
        </w:rPr>
      </w:pPr>
    </w:p>
    <w:p w14:paraId="4C521039" w14:textId="77777777" w:rsidR="00AB6F7E" w:rsidRDefault="00AB6F7E" w:rsidP="009C586B">
      <w:pPr>
        <w:rPr>
          <w:rFonts w:eastAsiaTheme="minorEastAsia"/>
        </w:rPr>
      </w:pPr>
      <w:r>
        <w:rPr>
          <w:rFonts w:eastAsiaTheme="minorEastAsia"/>
        </w:rPr>
        <w:t xml:space="preserve">Each channel </w:t>
      </w:r>
      <m:oMath>
        <m:r>
          <w:rPr>
            <w:rFonts w:ascii="Cambria Math" w:eastAsiaTheme="minorEastAsia" w:hAnsi="Cambria Math"/>
          </w:rPr>
          <m:t>k</m:t>
        </m:r>
      </m:oMath>
      <w:r>
        <w:rPr>
          <w:rFonts w:eastAsiaTheme="minorEastAsia"/>
        </w:rPr>
        <w:t xml:space="preserve"> has its own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 (from the logs of a currently running experiment </w:t>
      </w:r>
      <m:oMath>
        <m:r>
          <w:rPr>
            <w:rFonts w:ascii="Cambria Math" w:eastAsiaTheme="minorEastAsia" w:hAnsi="Cambria Math"/>
          </w:rPr>
          <m:t>[0.027, 0.420, 0.588, 0.857, 0.974]</m:t>
        </m:r>
      </m:oMath>
      <w:r>
        <w:rPr>
          <w:rFonts w:eastAsiaTheme="minorEastAsia"/>
        </w:rPr>
        <w:t>), giving different memory horizons:</w:t>
      </w:r>
    </w:p>
    <w:p w14:paraId="03454017" w14:textId="77777777" w:rsidR="00AB6F7E" w:rsidRDefault="00AB6F7E" w:rsidP="009C586B">
      <w:pPr>
        <w:rPr>
          <w:rFonts w:eastAsiaTheme="minorEastAsia"/>
        </w:rPr>
      </w:pPr>
    </w:p>
    <w:tbl>
      <w:tblPr>
        <w:tblStyle w:val="TableGrid"/>
        <w:tblW w:w="0" w:type="auto"/>
        <w:tblLook w:val="04A0" w:firstRow="1" w:lastRow="0" w:firstColumn="1" w:lastColumn="0" w:noHBand="0" w:noVBand="1"/>
      </w:tblPr>
      <w:tblGrid>
        <w:gridCol w:w="2337"/>
        <w:gridCol w:w="2337"/>
        <w:gridCol w:w="2338"/>
        <w:gridCol w:w="2338"/>
      </w:tblGrid>
      <w:tr w:rsidR="00AB6F7E" w14:paraId="4621A6A4" w14:textId="77777777" w:rsidTr="00AB6F7E">
        <w:tc>
          <w:tcPr>
            <w:tcW w:w="2337" w:type="dxa"/>
          </w:tcPr>
          <w:p w14:paraId="12B85C9E" w14:textId="77777777" w:rsidR="00AB6F7E" w:rsidRDefault="00AB6F7E" w:rsidP="009C586B">
            <w:pPr>
              <w:rPr>
                <w:rFonts w:eastAsiaTheme="minorEastAsia"/>
              </w:rPr>
            </w:pPr>
            <w:r>
              <w:rPr>
                <w:rFonts w:eastAsiaTheme="minorEastAsia"/>
              </w:rPr>
              <w:t>Channel</w:t>
            </w:r>
          </w:p>
        </w:tc>
        <w:tc>
          <w:tcPr>
            <w:tcW w:w="2337" w:type="dxa"/>
          </w:tcPr>
          <w:p w14:paraId="45C5DDF6" w14:textId="77777777" w:rsidR="00AB6F7E" w:rsidRDefault="00000000" w:rsidP="009C58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m:oMathPara>
          </w:p>
        </w:tc>
        <w:tc>
          <w:tcPr>
            <w:tcW w:w="2338" w:type="dxa"/>
          </w:tcPr>
          <w:p w14:paraId="52E0F890" w14:textId="77777777" w:rsidR="00AB6F7E" w:rsidRDefault="00AB6F7E" w:rsidP="009C586B">
            <w:pPr>
              <w:rPr>
                <w:rFonts w:eastAsiaTheme="minorEastAsia"/>
              </w:rPr>
            </w:pPr>
            <w:r>
              <w:rPr>
                <w:rFonts w:eastAsiaTheme="minorEastAsia"/>
              </w:rPr>
              <w:t>Effective Window</w:t>
            </w:r>
          </w:p>
        </w:tc>
        <w:tc>
          <w:tcPr>
            <w:tcW w:w="2338" w:type="dxa"/>
          </w:tcPr>
          <w:p w14:paraId="1BAC901F" w14:textId="77777777" w:rsidR="00AB6F7E" w:rsidRDefault="00AB6F7E" w:rsidP="009C586B">
            <w:pPr>
              <w:rPr>
                <w:rFonts w:eastAsiaTheme="minorEastAsia"/>
              </w:rPr>
            </w:pPr>
            <w:r>
              <w:rPr>
                <w:rFonts w:eastAsiaTheme="minorEastAsia"/>
              </w:rPr>
              <w:t>What it captures</w:t>
            </w:r>
          </w:p>
        </w:tc>
      </w:tr>
      <w:tr w:rsidR="00AB6F7E" w14:paraId="44B6A699" w14:textId="77777777" w:rsidTr="00AB6F7E">
        <w:tc>
          <w:tcPr>
            <w:tcW w:w="2337" w:type="dxa"/>
          </w:tcPr>
          <w:p w14:paraId="1402AFF5" w14:textId="77777777" w:rsidR="00AB6F7E" w:rsidRDefault="00AB6F7E" w:rsidP="009C586B">
            <w:pPr>
              <w:rPr>
                <w:rFonts w:eastAsiaTheme="minorEastAsia"/>
              </w:rPr>
            </w:pPr>
            <w:r>
              <w:rPr>
                <w:rFonts w:eastAsiaTheme="minorEastAsia"/>
              </w:rPr>
              <w:t>0</w:t>
            </w:r>
          </w:p>
        </w:tc>
        <w:tc>
          <w:tcPr>
            <w:tcW w:w="2337" w:type="dxa"/>
          </w:tcPr>
          <w:p w14:paraId="4624FD54" w14:textId="77777777" w:rsidR="00AB6F7E" w:rsidRDefault="00AB6F7E" w:rsidP="009C586B">
            <w:pPr>
              <w:rPr>
                <w:rFonts w:eastAsiaTheme="minorEastAsia"/>
              </w:rPr>
            </w:pPr>
            <w:r>
              <w:rPr>
                <w:rFonts w:eastAsiaTheme="minorEastAsia"/>
              </w:rPr>
              <w:t>0.027</w:t>
            </w:r>
          </w:p>
        </w:tc>
        <w:tc>
          <w:tcPr>
            <w:tcW w:w="2338" w:type="dxa"/>
          </w:tcPr>
          <w:p w14:paraId="1417699E" w14:textId="77777777" w:rsidR="00AB6F7E" w:rsidRDefault="00AB6F7E" w:rsidP="009C586B">
            <w:pPr>
              <w:rPr>
                <w:rFonts w:eastAsiaTheme="minorEastAsia"/>
              </w:rPr>
            </w:pPr>
            <w:r>
              <w:rPr>
                <w:rFonts w:eastAsiaTheme="minorEastAsia"/>
              </w:rPr>
              <w:t>~ 1 token</w:t>
            </w:r>
          </w:p>
        </w:tc>
        <w:tc>
          <w:tcPr>
            <w:tcW w:w="2338" w:type="dxa"/>
          </w:tcPr>
          <w:p w14:paraId="613B8DAA" w14:textId="77777777" w:rsidR="00AB6F7E" w:rsidRDefault="00CE2406" w:rsidP="009C586B">
            <w:pPr>
              <w:rPr>
                <w:rFonts w:eastAsiaTheme="minorEastAsia"/>
              </w:rPr>
            </w:pPr>
            <w:r>
              <w:rPr>
                <w:rFonts w:eastAsiaTheme="minorEastAsia"/>
              </w:rPr>
              <w:t>Nearly instantaneous (current token)</w:t>
            </w:r>
          </w:p>
        </w:tc>
      </w:tr>
      <w:tr w:rsidR="00AB6F7E" w14:paraId="153A0B0F" w14:textId="77777777" w:rsidTr="00AB6F7E">
        <w:tc>
          <w:tcPr>
            <w:tcW w:w="2337" w:type="dxa"/>
          </w:tcPr>
          <w:p w14:paraId="2E220E61" w14:textId="77777777" w:rsidR="00AB6F7E" w:rsidRDefault="00AB6F7E" w:rsidP="009C586B">
            <w:pPr>
              <w:rPr>
                <w:rFonts w:eastAsiaTheme="minorEastAsia"/>
              </w:rPr>
            </w:pPr>
            <w:r>
              <w:rPr>
                <w:rFonts w:eastAsiaTheme="minorEastAsia"/>
              </w:rPr>
              <w:t>1</w:t>
            </w:r>
          </w:p>
        </w:tc>
        <w:tc>
          <w:tcPr>
            <w:tcW w:w="2337" w:type="dxa"/>
          </w:tcPr>
          <w:p w14:paraId="6B8E6E0F" w14:textId="77777777" w:rsidR="00AB6F7E" w:rsidRDefault="00AB6F7E" w:rsidP="009C586B">
            <w:pPr>
              <w:rPr>
                <w:rFonts w:eastAsiaTheme="minorEastAsia"/>
              </w:rPr>
            </w:pPr>
            <w:r>
              <w:rPr>
                <w:rFonts w:eastAsiaTheme="minorEastAsia"/>
              </w:rPr>
              <w:t>0.420</w:t>
            </w:r>
          </w:p>
        </w:tc>
        <w:tc>
          <w:tcPr>
            <w:tcW w:w="2338" w:type="dxa"/>
          </w:tcPr>
          <w:p w14:paraId="522138F3" w14:textId="77777777" w:rsidR="00AB6F7E" w:rsidRDefault="00AB6F7E" w:rsidP="009C586B">
            <w:pPr>
              <w:rPr>
                <w:rFonts w:eastAsiaTheme="minorEastAsia"/>
              </w:rPr>
            </w:pPr>
            <w:r>
              <w:rPr>
                <w:rFonts w:eastAsiaTheme="minorEastAsia"/>
              </w:rPr>
              <w:t>~ 2 tokens</w:t>
            </w:r>
          </w:p>
        </w:tc>
        <w:tc>
          <w:tcPr>
            <w:tcW w:w="2338" w:type="dxa"/>
          </w:tcPr>
          <w:p w14:paraId="5F9293B9" w14:textId="77777777" w:rsidR="00AB6F7E" w:rsidRDefault="00CE2406" w:rsidP="009C586B">
            <w:pPr>
              <w:rPr>
                <w:rFonts w:eastAsiaTheme="minorEastAsia"/>
              </w:rPr>
            </w:pPr>
            <w:r>
              <w:rPr>
                <w:rFonts w:eastAsiaTheme="minorEastAsia"/>
              </w:rPr>
              <w:t>Very recent context</w:t>
            </w:r>
          </w:p>
        </w:tc>
      </w:tr>
      <w:tr w:rsidR="00AB6F7E" w14:paraId="4A7E95E0" w14:textId="77777777" w:rsidTr="00AB6F7E">
        <w:tc>
          <w:tcPr>
            <w:tcW w:w="2337" w:type="dxa"/>
          </w:tcPr>
          <w:p w14:paraId="6EC6F2AC" w14:textId="77777777" w:rsidR="00AB6F7E" w:rsidRDefault="00AB6F7E" w:rsidP="009C586B">
            <w:pPr>
              <w:rPr>
                <w:rFonts w:eastAsiaTheme="minorEastAsia"/>
              </w:rPr>
            </w:pPr>
            <w:r>
              <w:rPr>
                <w:rFonts w:eastAsiaTheme="minorEastAsia"/>
              </w:rPr>
              <w:t>2</w:t>
            </w:r>
          </w:p>
        </w:tc>
        <w:tc>
          <w:tcPr>
            <w:tcW w:w="2337" w:type="dxa"/>
          </w:tcPr>
          <w:p w14:paraId="6158A179" w14:textId="77777777" w:rsidR="00AB6F7E" w:rsidRDefault="00AB6F7E" w:rsidP="009C586B">
            <w:pPr>
              <w:rPr>
                <w:rFonts w:eastAsiaTheme="minorEastAsia"/>
              </w:rPr>
            </w:pPr>
            <w:r>
              <w:rPr>
                <w:rFonts w:eastAsiaTheme="minorEastAsia"/>
              </w:rPr>
              <w:t>0.588</w:t>
            </w:r>
          </w:p>
        </w:tc>
        <w:tc>
          <w:tcPr>
            <w:tcW w:w="2338" w:type="dxa"/>
          </w:tcPr>
          <w:p w14:paraId="20379BDD" w14:textId="77777777" w:rsidR="00AB6F7E" w:rsidRDefault="00AB6F7E" w:rsidP="009C586B">
            <w:pPr>
              <w:rPr>
                <w:rFonts w:eastAsiaTheme="minorEastAsia"/>
              </w:rPr>
            </w:pPr>
            <w:r>
              <w:rPr>
                <w:rFonts w:eastAsiaTheme="minorEastAsia"/>
              </w:rPr>
              <w:t>~ 2-3 tokens</w:t>
            </w:r>
          </w:p>
        </w:tc>
        <w:tc>
          <w:tcPr>
            <w:tcW w:w="2338" w:type="dxa"/>
          </w:tcPr>
          <w:p w14:paraId="10633F43" w14:textId="77777777" w:rsidR="00AB6F7E" w:rsidRDefault="00CE2406" w:rsidP="009C586B">
            <w:pPr>
              <w:rPr>
                <w:rFonts w:eastAsiaTheme="minorEastAsia"/>
              </w:rPr>
            </w:pPr>
            <w:r>
              <w:rPr>
                <w:rFonts w:eastAsiaTheme="minorEastAsia"/>
              </w:rPr>
              <w:t>Short-range context</w:t>
            </w:r>
          </w:p>
        </w:tc>
      </w:tr>
      <w:tr w:rsidR="00AB6F7E" w14:paraId="55B573EA" w14:textId="77777777" w:rsidTr="00AB6F7E">
        <w:tc>
          <w:tcPr>
            <w:tcW w:w="2337" w:type="dxa"/>
          </w:tcPr>
          <w:p w14:paraId="7548967A" w14:textId="77777777" w:rsidR="00AB6F7E" w:rsidRDefault="00AB6F7E" w:rsidP="009C586B">
            <w:pPr>
              <w:rPr>
                <w:rFonts w:eastAsiaTheme="minorEastAsia"/>
              </w:rPr>
            </w:pPr>
            <w:r>
              <w:rPr>
                <w:rFonts w:eastAsiaTheme="minorEastAsia"/>
              </w:rPr>
              <w:t>3</w:t>
            </w:r>
          </w:p>
        </w:tc>
        <w:tc>
          <w:tcPr>
            <w:tcW w:w="2337" w:type="dxa"/>
          </w:tcPr>
          <w:p w14:paraId="7CC1B9EE" w14:textId="77777777" w:rsidR="00AB6F7E" w:rsidRDefault="00AB6F7E" w:rsidP="009C586B">
            <w:pPr>
              <w:rPr>
                <w:rFonts w:eastAsiaTheme="minorEastAsia"/>
              </w:rPr>
            </w:pPr>
            <w:r>
              <w:rPr>
                <w:rFonts w:eastAsiaTheme="minorEastAsia"/>
              </w:rPr>
              <w:t>0.857</w:t>
            </w:r>
          </w:p>
        </w:tc>
        <w:tc>
          <w:tcPr>
            <w:tcW w:w="2338" w:type="dxa"/>
          </w:tcPr>
          <w:p w14:paraId="2F06EA28" w14:textId="77777777" w:rsidR="00AB6F7E" w:rsidRDefault="00CE2406" w:rsidP="009C586B">
            <w:pPr>
              <w:rPr>
                <w:rFonts w:eastAsiaTheme="minorEastAsia"/>
              </w:rPr>
            </w:pPr>
            <w:r>
              <w:rPr>
                <w:rFonts w:eastAsiaTheme="minorEastAsia"/>
              </w:rPr>
              <w:t>~ 7 tokens</w:t>
            </w:r>
          </w:p>
        </w:tc>
        <w:tc>
          <w:tcPr>
            <w:tcW w:w="2338" w:type="dxa"/>
          </w:tcPr>
          <w:p w14:paraId="3751BC66" w14:textId="77777777" w:rsidR="00AB6F7E" w:rsidRDefault="00CE2406" w:rsidP="009C586B">
            <w:pPr>
              <w:rPr>
                <w:rFonts w:eastAsiaTheme="minorEastAsia"/>
              </w:rPr>
            </w:pPr>
            <w:r>
              <w:rPr>
                <w:rFonts w:eastAsiaTheme="minorEastAsia"/>
              </w:rPr>
              <w:t>Medium-range context</w:t>
            </w:r>
          </w:p>
        </w:tc>
      </w:tr>
      <w:tr w:rsidR="00AB6F7E" w14:paraId="6B2D4DBD" w14:textId="77777777" w:rsidTr="00AB6F7E">
        <w:tc>
          <w:tcPr>
            <w:tcW w:w="2337" w:type="dxa"/>
          </w:tcPr>
          <w:p w14:paraId="2D2CB033" w14:textId="77777777" w:rsidR="00AB6F7E" w:rsidRDefault="00AB6F7E" w:rsidP="009C586B">
            <w:pPr>
              <w:rPr>
                <w:rFonts w:eastAsiaTheme="minorEastAsia"/>
              </w:rPr>
            </w:pPr>
            <w:r>
              <w:rPr>
                <w:rFonts w:eastAsiaTheme="minorEastAsia"/>
              </w:rPr>
              <w:t>4</w:t>
            </w:r>
          </w:p>
        </w:tc>
        <w:tc>
          <w:tcPr>
            <w:tcW w:w="2337" w:type="dxa"/>
          </w:tcPr>
          <w:p w14:paraId="2670665A" w14:textId="77777777" w:rsidR="00AB6F7E" w:rsidRDefault="00AB6F7E" w:rsidP="009C586B">
            <w:pPr>
              <w:rPr>
                <w:rFonts w:eastAsiaTheme="minorEastAsia"/>
              </w:rPr>
            </w:pPr>
            <w:r>
              <w:rPr>
                <w:rFonts w:eastAsiaTheme="minorEastAsia"/>
              </w:rPr>
              <w:t>0.974</w:t>
            </w:r>
          </w:p>
        </w:tc>
        <w:tc>
          <w:tcPr>
            <w:tcW w:w="2338" w:type="dxa"/>
          </w:tcPr>
          <w:p w14:paraId="41134BA9" w14:textId="77777777" w:rsidR="00AB6F7E" w:rsidRDefault="00CE2406" w:rsidP="009C586B">
            <w:pPr>
              <w:rPr>
                <w:rFonts w:eastAsiaTheme="minorEastAsia"/>
              </w:rPr>
            </w:pPr>
            <w:r>
              <w:rPr>
                <w:rFonts w:eastAsiaTheme="minorEastAsia"/>
              </w:rPr>
              <w:t>~ 38 tokens</w:t>
            </w:r>
          </w:p>
        </w:tc>
        <w:tc>
          <w:tcPr>
            <w:tcW w:w="2338" w:type="dxa"/>
          </w:tcPr>
          <w:p w14:paraId="1C4A5861" w14:textId="77777777" w:rsidR="00AB6F7E" w:rsidRDefault="00CE2406" w:rsidP="009C586B">
            <w:pPr>
              <w:rPr>
                <w:rFonts w:eastAsiaTheme="minorEastAsia"/>
              </w:rPr>
            </w:pPr>
            <w:r>
              <w:rPr>
                <w:rFonts w:eastAsiaTheme="minorEastAsia"/>
              </w:rPr>
              <w:t>Long-range context</w:t>
            </w:r>
          </w:p>
        </w:tc>
      </w:tr>
    </w:tbl>
    <w:p w14:paraId="440C36F5" w14:textId="77777777" w:rsidR="00AB6F7E" w:rsidRDefault="00AB6F7E" w:rsidP="009C586B">
      <w:pPr>
        <w:rPr>
          <w:rFonts w:eastAsiaTheme="minorEastAsia"/>
        </w:rPr>
      </w:pPr>
    </w:p>
    <w:p w14:paraId="23A5330A" w14:textId="77777777" w:rsidR="00CE2406" w:rsidRDefault="00CE2406" w:rsidP="009C586B">
      <w:pPr>
        <w:rPr>
          <w:rFonts w:eastAsiaTheme="minorEastAsia"/>
        </w:rPr>
      </w:pPr>
      <w:r>
        <w:t xml:space="preserve">The effective window is approximately </w:t>
      </w:r>
      <m:oMath>
        <m:box>
          <m:boxPr>
            <m:ctrlPr>
              <w:rPr>
                <w:rFonts w:ascii="Cambria Math" w:hAnsi="Cambria Math"/>
              </w:rPr>
            </m:ctrlPr>
          </m:boxPr>
          <m:e>
            <m:r>
              <m:rPr>
                <m:sty m:val="p"/>
              </m:rPr>
              <w:rPr>
                <w:rFonts w:ascii="Cambria Math" w:hAnsi="Cambria Math"/>
              </w:rPr>
              <m:t>1/(1-</m:t>
            </m:r>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e>
        </m:box>
      </m:oMath>
      <w:r>
        <w:t xml:space="preserve">. The full context vector </w:t>
      </w:r>
      <m:oMath>
        <m:box>
          <m:boxPr>
            <m:ctrlPr>
              <w:rPr>
                <w:rFonts w:ascii="Cambria Math" w:hAnsi="Cambria Math"/>
              </w:rPr>
            </m:ctrlPr>
          </m:boxPr>
          <m:e>
            <m:sSubSup>
              <m:sSubSupPr>
                <m:ctrlPr>
                  <w:rPr>
                    <w:rFonts w:ascii="Cambria Math" w:hAnsi="Cambria Math"/>
                  </w:rPr>
                </m:ctrlPr>
              </m:sSubSupPr>
              <m:e>
                <m:r>
                  <w:rPr>
                    <w:rFonts w:ascii="Cambria Math" w:hAnsi="Cambria Math"/>
                  </w:rPr>
                  <m:t>ξ</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e>
        </m:box>
      </m:oMath>
      <w:r>
        <w:t xml:space="preserve"> is the concatenation of all channels (a length-</w:t>
      </w:r>
      <m:oMath>
        <m:box>
          <m:boxPr>
            <m:ctrlPr>
              <w:rPr>
                <w:rFonts w:ascii="Cambria Math" w:hAnsi="Cambria Math"/>
              </w:rPr>
            </m:ctrlPr>
          </m:boxPr>
          <m:e>
            <m:r>
              <w:rPr>
                <w:rFonts w:ascii="Cambria Math" w:hAnsi="Cambria Math"/>
              </w:rPr>
              <m:t>Kd</m:t>
            </m:r>
          </m:e>
        </m:box>
      </m:oMath>
      <w:r>
        <w:t xml:space="preserve"> vector; equivalently a </w:t>
      </w:r>
      <m:oMath>
        <m:box>
          <m:boxPr>
            <m:ctrlPr>
              <w:rPr>
                <w:rFonts w:ascii="Cambria Math" w:hAnsi="Cambria Math"/>
              </w:rPr>
            </m:ctrlPr>
          </m:boxPr>
          <m:e>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m:t>
            </m:r>
            <m:r>
              <m:rPr>
                <m:sty m:val="p"/>
              </m:rPr>
              <w:rPr>
                <w:rFonts w:ascii="Cambria Math" w:hAnsi="Cambria Math"/>
              </w:rPr>
              <m:t>)</m:t>
            </m:r>
          </m:e>
        </m:box>
      </m:oMath>
      <w:r>
        <w:t xml:space="preserve"> stack before the adapter flattens it):</w:t>
      </w:r>
    </w:p>
    <w:p w14:paraId="13A3DEE7" w14:textId="77777777" w:rsidR="00EA417D" w:rsidRDefault="00EA417D" w:rsidP="009C586B">
      <w:pPr>
        <w:rPr>
          <w:rFonts w:eastAsiaTheme="minorEastAsia"/>
        </w:rPr>
      </w:pPr>
    </w:p>
    <w:p w14:paraId="10AAF659" w14:textId="77777777" w:rsidR="00EA417D" w:rsidRDefault="00000000" w:rsidP="009C586B">
      <w:pPr>
        <w:rPr>
          <w:rFonts w:eastAsiaTheme="minorEastAsia"/>
        </w:rP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ξ</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sSubSup>
                <m:sSubSupPr>
                  <m:ctrlPr>
                    <w:rPr>
                      <w:rFonts w:ascii="Cambria Math" w:hAnsi="Cambria Math"/>
                    </w:rPr>
                  </m:ctrlPr>
                </m:sSubSupPr>
                <m:e>
                  <m:r>
                    <w:rPr>
                      <w:rFonts w:ascii="Cambria Math" w:hAnsi="Cambria Math"/>
                    </w:rPr>
                    <m:t>ξ</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w:rPr>
                  <w:rFonts w:ascii="Cambria Math" w:hAnsi="Cambria Math"/>
                </w:rPr>
                <m:t>;</m:t>
              </m:r>
              <m:sSubSup>
                <m:sSubSupPr>
                  <m:ctrlPr>
                    <w:rPr>
                      <w:rFonts w:ascii="Cambria Math" w:hAnsi="Cambria Math"/>
                    </w:rPr>
                  </m:ctrlPr>
                </m:sSubSupPr>
                <m:e>
                  <m:r>
                    <w:rPr>
                      <w:rFonts w:ascii="Cambria Math" w:hAnsi="Cambria Math"/>
                    </w:rPr>
                    <m:t>ξ</m:t>
                  </m:r>
                </m:e>
                <m:sub>
                  <m:box>
                    <m:boxPr>
                      <m:ctrlPr>
                        <w:rPr>
                          <w:rFonts w:ascii="Cambria Math" w:hAnsi="Cambria Math"/>
                        </w:rPr>
                      </m:ctrlPr>
                    </m:boxPr>
                    <m:e>
                      <m:r>
                        <w:rPr>
                          <w:rFonts w:ascii="Cambria Math" w:hAnsi="Cambria Math"/>
                        </w:rPr>
                        <m:t>t</m:t>
                      </m:r>
                      <m:r>
                        <m:rPr>
                          <m:sty m:val="p"/>
                        </m:rPr>
                        <w:rPr>
                          <w:rFonts w:ascii="Cambria Math" w:hAnsi="Cambria Math"/>
                        </w:rPr>
                        <m:t>,2</m:t>
                      </m:r>
                    </m:e>
                  </m:box>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w:rPr>
                  <w:rFonts w:ascii="Cambria Math" w:hAnsi="Cambria Math"/>
                </w:rPr>
                <m:t>;…;</m:t>
              </m:r>
              <m:sSubSup>
                <m:sSubSupPr>
                  <m:ctrlPr>
                    <w:rPr>
                      <w:rFonts w:ascii="Cambria Math" w:hAnsi="Cambria Math"/>
                    </w:rPr>
                  </m:ctrlPr>
                </m:sSubSupPr>
                <m:e>
                  <m:r>
                    <w:rPr>
                      <w:rFonts w:ascii="Cambria Math" w:hAnsi="Cambria Math"/>
                    </w:rPr>
                    <m:t>ξ</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K</m:t>
                      </m:r>
                    </m:e>
                  </m:box>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Kd</m:t>
                      </m:r>
                    </m:e>
                  </m:box>
                </m:sup>
              </m:sSup>
            </m:e>
          </m:box>
        </m:oMath>
      </m:oMathPara>
    </w:p>
    <w:p w14:paraId="09B9712D" w14:textId="77777777" w:rsidR="00AB6F7E" w:rsidRDefault="00AB6F7E" w:rsidP="009C586B">
      <w:pPr>
        <w:rPr>
          <w:rFonts w:eastAsiaTheme="minorEastAsia"/>
        </w:rPr>
      </w:pPr>
    </w:p>
    <w:p w14:paraId="2A3791B5" w14:textId="77777777" w:rsidR="00930F59" w:rsidRDefault="00930F59" w:rsidP="009C586B">
      <w:pPr>
        <w:rPr>
          <w:rFonts w:eastAsiaTheme="minorEastAsia"/>
        </w:rPr>
      </w:pPr>
      <w:r w:rsidRPr="00930F59">
        <w:rPr>
          <w:rFonts w:eastAsiaTheme="minorEastAsia"/>
          <w:b/>
          <w:bCs/>
        </w:rPr>
        <w:t>Component 2</w:t>
      </w:r>
      <w:r>
        <w:rPr>
          <w:rFonts w:eastAsiaTheme="minorEastAsia"/>
        </w:rPr>
        <w:t>: logfreq per-token mass (as in Section 1</w:t>
      </w:r>
      <w:r w:rsidR="006C1B9A">
        <w:rPr>
          <w:rFonts w:eastAsiaTheme="minorEastAsia"/>
        </w:rPr>
        <w:t>5</w:t>
      </w:r>
      <w:r>
        <w:rPr>
          <w:rFonts w:eastAsiaTheme="minorEastAsia"/>
        </w:rPr>
        <w:t>.1</w:t>
      </w:r>
      <w:r w:rsidR="006C1B9A">
        <w:rPr>
          <w:rFonts w:eastAsiaTheme="minorEastAsia"/>
        </w:rPr>
        <w:t>7</w:t>
      </w:r>
      <w:r>
        <w:rPr>
          <w:rFonts w:eastAsiaTheme="minorEastAsia"/>
        </w:rPr>
        <w:t xml:space="preserve"> of [1])</w:t>
      </w:r>
    </w:p>
    <w:p w14:paraId="30DD95BC" w14:textId="77777777" w:rsidR="00930F59" w:rsidRDefault="00930F59" w:rsidP="009C586B">
      <w:pPr>
        <w:rPr>
          <w:rFonts w:eastAsiaTheme="minorEastAsia"/>
        </w:rPr>
      </w:pPr>
    </w:p>
    <w:p w14:paraId="3FC623FD" w14:textId="77777777" w:rsidR="00D5238E" w:rsidRDefault="00487152" w:rsidP="009C586B">
      <w:pPr>
        <w:rPr>
          <w:rFonts w:eastAsiaTheme="minorEastAsia"/>
        </w:rPr>
      </w:pPr>
      <w:r>
        <w:rPr>
          <w:rFonts w:eastAsiaTheme="minorEastAsia"/>
        </w:rPr>
        <w:t xml:space="preserve">The Euler-Lagrange </w:t>
      </w:r>
      <w:r w:rsidR="00F30CFF">
        <w:rPr>
          <w:rFonts w:eastAsiaTheme="minorEastAsia"/>
        </w:rPr>
        <w:t xml:space="preserve">integrator has </w:t>
      </w:r>
      <w:r w:rsidR="00915108">
        <w:rPr>
          <w:rFonts w:eastAsiaTheme="minorEastAsia"/>
        </w:rPr>
        <w:t>inertial mass term</w:t>
      </w:r>
      <w:r w:rsidR="00F30CFF">
        <w:rPr>
          <w:rFonts w:eastAsiaTheme="minorEastAsia"/>
        </w:rPr>
        <w:t xml:space="preserve"> </w:t>
      </w:r>
      <m:oMath>
        <m:r>
          <m:rPr>
            <m:scr m:val="fraktur"/>
          </m:rPr>
          <w:rPr>
            <w:rFonts w:ascii="Cambria Math" w:eastAsiaTheme="minorEastAsia" w:hAnsi="Cambria Math"/>
          </w:rPr>
          <m:t>m</m:t>
        </m:r>
      </m:oMath>
      <w:r w:rsidR="00915108">
        <w:rPr>
          <w:rFonts w:eastAsiaTheme="minorEastAsia"/>
        </w:rPr>
        <w:t xml:space="preserve"> that controls how strongly the forces accelerate the hidden state.</w:t>
      </w:r>
    </w:p>
    <w:p w14:paraId="2F5F80D2" w14:textId="77777777" w:rsidR="00930F59" w:rsidRDefault="00930F59" w:rsidP="009C586B">
      <w:pPr>
        <w:rPr>
          <w:rFonts w:eastAsiaTheme="minorEastAsia"/>
        </w:rPr>
      </w:pPr>
    </w:p>
    <w:p w14:paraId="7DDDBEF1" w14:textId="77777777" w:rsidR="007B69CC" w:rsidRPr="007B69CC" w:rsidRDefault="007B69CC" w:rsidP="009C586B">
      <w:pPr>
        <w:rPr>
          <w:b/>
          <w:bCs/>
        </w:rPr>
      </w:pPr>
    </w:p>
    <w:p w14:paraId="3EF32EC5" w14:textId="77777777" w:rsidR="00455F66" w:rsidRDefault="00000000">
      <w:pPr>
        <w:spacing w:after="120"/>
      </w:pPr>
      <w:r>
        <w:rPr>
          <w:rFonts w:ascii="Calibri" w:hAnsi="Calibri"/>
        </w:rPr>
        <w:t>“SARF-mass” is the combination of two orthogonal ablations stacked on top of the basic SPLM — both documented in the paper (§14.13 and §14.14) and the best standalone-SPLM configuration in the paper.</w:t>
      </w:r>
    </w:p>
    <w:p w14:paraId="125601ED" w14:textId="77777777" w:rsidR="00455F66" w:rsidRDefault="00000000">
      <w:pPr>
        <w:pStyle w:val="Heading3"/>
        <w:spacing w:after="120"/>
      </w:pPr>
      <w:bookmarkStart w:id="63" w:name="_Toc240119411"/>
      <w:r>
        <w:rPr>
          <w:rFonts w:ascii="Calibri" w:hAnsi="Calibri"/>
          <w:sz w:val="19"/>
        </w:rPr>
        <w:lastRenderedPageBreak/>
        <w:t>Component 1 — SARF-faithful ξ (§14.13)</w:t>
      </w:r>
      <w:bookmarkEnd w:id="63"/>
    </w:p>
    <w:p w14:paraId="0894AA15" w14:textId="77777777" w:rsidR="00455F66" w:rsidRDefault="00000000">
      <w:pPr>
        <w:spacing w:after="120"/>
      </w:pPr>
      <w:r>
        <w:rPr>
          <w:rFonts w:ascii="Calibri" w:hAnsi="Calibri"/>
        </w:rPr>
        <w:t xml:space="preserve">In the baseline SPLM, the context vector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r>
                  <w:rPr>
                    <w:rFonts w:ascii="Cambria Math" w:hAnsi="Cambria Math"/>
                  </w:rPr>
                  <m:t>t</m:t>
                </m:r>
              </m:sub>
            </m:sSub>
          </m:e>
        </m:box>
      </m:oMath>
      <w:r>
        <w:rPr>
          <w:rFonts w:ascii="Calibri" w:hAnsi="Calibri"/>
        </w:rPr>
        <w:t xml:space="preserve"> (causal cumulative mean of the embedding sequence) is computed once from the input embeddings before the integration loop and held fixed for all </w:t>
      </w:r>
      <m:oMath>
        <m:box>
          <m:boxPr>
            <m:ctrlPr>
              <w:rPr>
                <w:rFonts w:ascii="Cambria Math" w:hAnsi="Cambria Math"/>
              </w:rPr>
            </m:ctrlPr>
          </m:boxPr>
          <m:e>
            <m:r>
              <w:rPr>
                <w:rFonts w:ascii="Cambria Math" w:hAnsi="Cambria Math"/>
              </w:rPr>
              <m:t>L</m:t>
            </m:r>
          </m:e>
        </m:box>
      </m:oMath>
      <w:r>
        <w:rPr>
          <w:rFonts w:ascii="Calibri" w:hAnsi="Calibri"/>
        </w:rPr>
        <w:t xml:space="preserve"> Euler steps. The SARF-faithful variant re-derives </w:t>
      </w:r>
      <m:oMath>
        <m:box>
          <m:boxPr>
            <m:ctrlPr>
              <w:rPr>
                <w:rFonts w:ascii="Cambria Math" w:hAnsi="Cambria Math"/>
              </w:rPr>
            </m:ctrlPr>
          </m:boxPr>
          <m:e>
            <m:r>
              <w:rPr>
                <w:rFonts w:ascii="Cambria Math" w:hAnsi="Cambria Math"/>
              </w:rPr>
              <m:t>ξ</m:t>
            </m:r>
          </m:e>
        </m:box>
      </m:oMath>
      <w:r>
        <w:rPr>
          <w:rFonts w:ascii="Calibri" w:hAnsi="Calibri"/>
        </w:rPr>
        <w:t xml:space="preserve"> from the current hidden states at every integration step </w:t>
      </w:r>
      <m:oMath>
        <m:box>
          <m:boxPr>
            <m:ctrlPr>
              <w:rPr>
                <w:rFonts w:ascii="Cambria Math" w:hAnsi="Cambria Math"/>
              </w:rPr>
            </m:ctrlPr>
          </m:boxPr>
          <m:e>
            <m:r>
              <m:rPr>
                <m:scr m:val="script"/>
              </m:rPr>
              <w:rPr>
                <w:rFonts w:ascii="Cambria Math" w:hAnsi="Cambria Math"/>
              </w:rPr>
              <m:t>l</m:t>
            </m:r>
          </m:e>
        </m:box>
      </m:oMath>
      <w:r>
        <w:rPr>
          <w:rFonts w:ascii="Calibri" w:hAnsi="Calibri"/>
        </w:rPr>
        <w:t>:</w:t>
      </w:r>
    </w:p>
    <w:p w14:paraId="4A4D97F5"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p>
              <m:r>
                <m:rPr>
                  <m:sty m:val="p"/>
                </m:rPr>
                <w:rPr>
                  <w:rFonts w:ascii="Cambria Math" w:hAnsi="Cambria Math"/>
                </w:rPr>
                <m:t>=</m:t>
              </m:r>
              <m:box>
                <m:boxPr>
                  <m:ctrlPr>
                    <w:rPr>
                      <w:rFonts w:ascii="Cambria Math" w:hAnsi="Cambria Math"/>
                    </w:rPr>
                  </m:ctrlPr>
                </m:boxPr>
                <m:e>
                  <m:r>
                    <m:rPr>
                      <m:sty m:val="p"/>
                    </m:rPr>
                    <w:rPr>
                      <w:rFonts w:ascii="Cambria Math" w:hAnsi="Cambria Math"/>
                    </w:rPr>
                    <m:t>CausalMean</m:t>
                  </m:r>
                </m:e>
              </m:box>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e>
          </m:box>
        </m:oMath>
      </m:oMathPara>
    </w:p>
    <w:p w14:paraId="1DCB71EA" w14:textId="77777777" w:rsidR="00455F66" w:rsidRDefault="00000000">
      <w:pPr>
        <w:spacing w:after="120"/>
      </w:pPr>
      <w:r>
        <w:rPr>
          <w:rFonts w:ascii="Calibri" w:hAnsi="Calibri"/>
        </w:rPr>
        <w:t xml:space="preserve">This literally realises the time-dependent reinforcement field from §6 of the theory (layer </w:t>
      </w:r>
      <m:oMath>
        <m:box>
          <m:boxPr>
            <m:ctrlPr>
              <w:rPr>
                <w:rFonts w:ascii="Cambria Math" w:hAnsi="Cambria Math"/>
              </w:rPr>
            </m:ctrlPr>
          </m:boxPr>
          <m:e>
            <m:r>
              <m:rPr>
                <m:scr m:val="script"/>
              </m:rPr>
              <w:rPr>
                <w:rFonts w:ascii="Cambria Math" w:hAnsi="Cambria Math"/>
              </w:rPr>
              <m:t>l</m:t>
            </m:r>
          </m:e>
        </m:box>
      </m:oMath>
      <w:r>
        <w:rPr>
          <w:rFonts w:ascii="Calibri" w:hAnsi="Calibri"/>
        </w:rPr>
        <w:t xml:space="preserve"> plays the role of time). The only code change is one extra line inside the integration loop — the force is still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rPr>
          <w:rFonts w:ascii="Calibri" w:hAnsi="Calibri"/>
        </w:rPr>
        <w:t>, nothing else changes. On Tiny Shakespeare, this single change gives −33% val PPL at identical parameter count.</w:t>
      </w:r>
    </w:p>
    <w:p w14:paraId="20DDE4AB" w14:textId="77777777" w:rsidR="00455F66" w:rsidRDefault="00000000">
      <w:pPr>
        <w:pStyle w:val="Heading3"/>
        <w:spacing w:after="120"/>
      </w:pPr>
      <w:bookmarkStart w:id="64" w:name="_Toc240119412"/>
      <w:r>
        <w:rPr>
          <w:rFonts w:ascii="Calibri" w:hAnsi="Calibri"/>
          <w:sz w:val="19"/>
        </w:rPr>
        <w:t>Component 2 — logfreq per-token mass (§14.14)</w:t>
      </w:r>
      <w:bookmarkEnd w:id="64"/>
    </w:p>
    <w:p w14:paraId="7B9A329C" w14:textId="77777777" w:rsidR="00455F66" w:rsidRDefault="00000000">
      <w:pPr>
        <w:spacing w:after="120"/>
      </w:pPr>
      <w:r>
        <w:rPr>
          <w:rFonts w:ascii="Calibri" w:hAnsi="Calibri"/>
        </w:rPr>
        <w:t xml:space="preserve">The Euler–Lagrange integrator has a kinetic prefactor </w:t>
      </w:r>
      <m:oMath>
        <m:box>
          <m:boxPr>
            <m:ctrlPr>
              <w:rPr>
                <w:rFonts w:ascii="Cambria Math" w:hAnsi="Cambria Math"/>
              </w:rPr>
            </m:ctrlPr>
          </m:boxPr>
          <m:e>
            <m:r>
              <w:rPr>
                <w:rFonts w:ascii="Cambria Math" w:hAnsi="Cambria Math"/>
              </w:rPr>
              <m:t>m</m:t>
            </m:r>
          </m:e>
        </m:box>
      </m:oMath>
      <w:r>
        <w:rPr>
          <w:rFonts w:ascii="Calibri" w:hAnsi="Calibri"/>
        </w:rPr>
        <w:t xml:space="preserve"> (inertial mass):</w:t>
      </w:r>
    </w:p>
    <w:p w14:paraId="6594773E"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-1</m:t>
                              </m:r>
                            </m:e>
                          </m:box>
                        </m:sub>
                      </m:sSub>
                      <m:r>
                        <m:rPr>
                          <m:sty m:val="p"/>
                        </m:rPr>
                        <w:rPr>
                          <w:rFonts w:ascii="Cambria Math" w:hAnsi="Cambria Math"/>
                        </w:rPr>
                        <m:t>+</m:t>
                      </m:r>
                      <m:r>
                        <w:rPr>
                          <w:rFonts w:ascii="Cambria Math" w:hAnsi="Cambria Math"/>
                        </w:rPr>
                        <m:t>Δt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m</m:t>
                      </m:r>
                    </m:e>
                  </m:box>
                </m:num>
                <m:den>
                  <m:box>
                    <m:boxPr>
                      <m:ctrlPr>
                        <w:rPr>
                          <w:rFonts w:ascii="Cambria Math" w:hAnsi="Cambria Math"/>
                        </w:rPr>
                      </m:ctrlPr>
                    </m:boxPr>
                    <m:e>
                      <m:r>
                        <m:rPr>
                          <m:sty m:val="p"/>
                        </m:rPr>
                        <w:rPr>
                          <w:rFonts w:ascii="Cambria Math" w:hAnsi="Cambria Math"/>
                        </w:rPr>
                        <m:t>1+</m:t>
                      </m:r>
                      <m:r>
                        <w:rPr>
                          <w:rFonts w:ascii="Cambria Math" w:hAnsi="Cambria Math"/>
                        </w:rPr>
                        <m:t>Δt</m:t>
                      </m:r>
                      <m:r>
                        <m:rPr>
                          <m:sty m:val="p"/>
                        </m:rPr>
                        <w:rPr>
                          <w:rFonts w:ascii="Cambria Math" w:hAnsi="Cambria Math"/>
                        </w:rPr>
                        <m:t>·</m:t>
                      </m:r>
                      <m:r>
                        <w:rPr>
                          <w:rFonts w:ascii="Cambria Math" w:hAnsi="Cambria Math"/>
                        </w:rPr>
                        <m:t>γ</m:t>
                      </m:r>
                    </m:e>
                  </m:box>
                </m:den>
              </m:f>
            </m:e>
          </m:box>
        </m:oMath>
      </m:oMathPara>
    </w:p>
    <w:p w14:paraId="0BAF6702" w14:textId="77777777" w:rsidR="00455F66" w:rsidRDefault="00000000">
      <w:pPr>
        <w:spacing w:after="120"/>
      </w:pPr>
      <w:r>
        <w:rPr>
          <w:rFonts w:ascii="Calibri" w:hAnsi="Calibri"/>
        </w:rPr>
        <w:t xml:space="preserve">The baseline SPLM uses a single global scalar </w:t>
      </w:r>
      <m:oMath>
        <m:box>
          <m:boxPr>
            <m:ctrlPr>
              <w:rPr>
                <w:rFonts w:ascii="Cambria Math" w:hAnsi="Cambria Math"/>
              </w:rPr>
            </m:ctrlPr>
          </m:boxPr>
          <m:e>
            <m:r>
              <w:rPr>
                <w:rFonts w:ascii="Cambria Math" w:hAnsi="Cambria Math"/>
              </w:rPr>
              <m:t>m</m:t>
            </m:r>
          </m:e>
        </m:box>
      </m:oMath>
      <w:r>
        <w:rPr>
          <w:rFonts w:ascii="Calibri" w:hAnsi="Calibri"/>
        </w:rPr>
        <w:t>. The logfreq variant makes this per-token and information-theoretically grounded:</w:t>
      </w:r>
    </w:p>
    <w:p w14:paraId="630F774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r>
                        <m:rPr>
                          <m:sty m:val="p"/>
                        </m:rPr>
                        <w:rPr>
                          <w:rFonts w:ascii="Cambria Math" w:hAnsi="Cambria Math"/>
                        </w:rPr>
                        <m:t>+</m:t>
                      </m:r>
                      <m:r>
                        <w:rPr>
                          <w:rFonts w:ascii="Cambria Math" w:hAnsi="Cambria Math"/>
                        </w:rPr>
                        <m:t>α</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acc>
                            <m:accPr>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func>
                      <m:r>
                        <m:rPr>
                          <m:sty m:val="p"/>
                        </m:rPr>
                        <w:rPr>
                          <w:rFonts w:ascii="Cambria Math" w:hAnsi="Cambria Math"/>
                        </w:rPr>
                        <m:t>)</m:t>
                      </m:r>
                    </m:e>
                  </m:box>
                </m:e>
              </m:d>
              <m:r>
                <m:rPr>
                  <m:sty m:val="p"/>
                </m:rPr>
                <w:rPr>
                  <w:rFonts w:ascii="Cambria Math" w:hAnsi="Cambria Math"/>
                </w:rPr>
                <m:t>+</m:t>
              </m:r>
              <m:r>
                <w:rPr>
                  <w:rFonts w:ascii="Cambria Math" w:hAnsi="Cambria Math"/>
                </w:rPr>
                <m:t>ϵ</m:t>
              </m:r>
            </m:e>
          </m:box>
        </m:oMath>
      </m:oMathPara>
    </w:p>
    <w:p w14:paraId="635F46BD" w14:textId="77777777" w:rsidR="00455F66" w:rsidRDefault="00000000">
      <w:pPr>
        <w:spacing w:after="120"/>
      </w:pPr>
      <m:oMath>
        <m:box>
          <m:boxPr>
            <m:ctrlPr>
              <w:rPr>
                <w:rFonts w:ascii="Cambria Math" w:hAnsi="Cambria Math"/>
              </w:rPr>
            </m:ctrlPr>
          </m:boxPr>
          <m:e>
            <m:acc>
              <m:accPr>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oMath>
      <w:r>
        <w:rPr>
          <w:rFonts w:ascii="Calibri" w:hAnsi="Calibri"/>
        </w:rPr>
        <w:t xml:space="preserve"> is the add-one-smoothed unigram frequency on the training corpus (precomputed once, frozen). The only new learnable parameter is the scalar scale </w:t>
      </w:r>
      <m:oMath>
        <m:box>
          <m:boxPr>
            <m:ctrlPr>
              <w:rPr>
                <w:rFonts w:ascii="Cambria Math" w:hAnsi="Cambria Math"/>
              </w:rPr>
            </m:ctrlPr>
          </m:boxPr>
          <m:e>
            <m:r>
              <w:rPr>
                <w:rFonts w:ascii="Cambria Math" w:hAnsi="Cambria Math"/>
              </w:rPr>
              <m:t>α</m:t>
            </m:r>
          </m:e>
        </m:box>
      </m:oMath>
      <w:r>
        <w:rPr>
          <w:rFonts w:ascii="Calibri" w:hAnsi="Calibri"/>
        </w:rPr>
        <w:t>. This makes rare / surprising tokens heavier — they resist being pushed away from their initial position by the force field, which is exactly what the Lagrangian framework prescribes for semantically loaded tokens.</w:t>
      </w:r>
    </w:p>
    <w:p w14:paraId="5929B519" w14:textId="77777777" w:rsidR="00455F66" w:rsidRDefault="00000000">
      <w:pPr>
        <w:spacing w:after="120"/>
      </w:pPr>
      <w:r>
        <w:rPr>
          <w:rFonts w:ascii="Calibri" w:hAnsi="Calibri"/>
        </w:rPr>
        <w:t xml:space="preserve">The “SARF” in “SARF-mass” signals that this mass variant was tested on top of the SARF-faithful </w:t>
      </w:r>
      <m:oMath>
        <m:box>
          <m:boxPr>
            <m:ctrlPr>
              <w:rPr>
                <w:rFonts w:ascii="Cambria Math" w:hAnsi="Cambria Math"/>
              </w:rPr>
            </m:ctrlPr>
          </m:boxPr>
          <m:e>
            <m:r>
              <w:rPr>
                <w:rFonts w:ascii="Cambria Math" w:hAnsi="Cambria Math"/>
              </w:rPr>
              <m:t>ξ</m:t>
            </m:r>
          </m:e>
        </m:box>
      </m:oMath>
      <w:r>
        <w:rPr>
          <w:rFonts w:ascii="Calibri" w:hAnsi="Calibri"/>
        </w:rPr>
        <w:t>. An alternative Variant A (learned linear projection from the token embedding to a scalar mass) was also tested but underperforms logfreq by ~27% on Tiny Shakespeare, because at this data scale the frozen informational shape wins over a learned shape that has to discover both shape and scale from scratch.</w:t>
      </w:r>
    </w:p>
    <w:p w14:paraId="30156443" w14:textId="77777777" w:rsidR="00764C7C" w:rsidRDefault="00764C7C" w:rsidP="009C586B"/>
    <w:p w14:paraId="3FB4328F" w14:textId="77777777" w:rsidR="00455F66" w:rsidRDefault="00000000">
      <w:pPr>
        <w:pStyle w:val="Heading3"/>
        <w:spacing w:after="120"/>
      </w:pPr>
      <w:bookmarkStart w:id="65" w:name="_Toc240119413"/>
      <w:r>
        <w:rPr>
          <w:rFonts w:ascii="Calibri" w:hAnsi="Calibri"/>
          <w:sz w:val="19"/>
        </w:rPr>
        <w:t>Combined result (§4.4 of Training_and_Inference_with_SPLM.md)</w:t>
      </w:r>
      <w:bookmarkEnd w:id="65"/>
    </w:p>
    <w:tbl>
      <w:tblPr>
        <w:tblStyle w:val="TableGrid"/>
        <w:tblW w:w="0" w:type="auto"/>
        <w:tblLook w:val="04A0" w:firstRow="1" w:lastRow="0" w:firstColumn="1" w:lastColumn="0" w:noHBand="0" w:noVBand="1"/>
      </w:tblPr>
      <w:tblGrid>
        <w:gridCol w:w="3116"/>
        <w:gridCol w:w="3117"/>
        <w:gridCol w:w="3117"/>
      </w:tblGrid>
      <w:tr w:rsidR="00455F66" w14:paraId="20B75552" w14:textId="77777777">
        <w:tc>
          <w:tcPr>
            <w:tcW w:w="3120" w:type="dxa"/>
          </w:tcPr>
          <w:p w14:paraId="7F047814" w14:textId="77777777" w:rsidR="00455F66" w:rsidRDefault="00000000">
            <w:r>
              <w:rPr>
                <w:rFonts w:ascii="Calibri" w:hAnsi="Calibri"/>
                <w:b/>
                <w:sz w:val="17"/>
              </w:rPr>
              <w:t>variant</w:t>
            </w:r>
          </w:p>
        </w:tc>
        <w:tc>
          <w:tcPr>
            <w:tcW w:w="3120" w:type="dxa"/>
          </w:tcPr>
          <w:p w14:paraId="697F9930" w14:textId="77777777" w:rsidR="00455F66" w:rsidRDefault="00000000">
            <w:r>
              <w:rPr>
                <w:rFonts w:ascii="Calibri" w:hAnsi="Calibri"/>
                <w:b/>
                <w:sz w:val="17"/>
              </w:rPr>
              <w:t>val ppl</w:t>
            </w:r>
          </w:p>
        </w:tc>
        <w:tc>
          <w:tcPr>
            <w:tcW w:w="3120" w:type="dxa"/>
          </w:tcPr>
          <w:p w14:paraId="5F24C570" w14:textId="77777777" w:rsidR="00455F66" w:rsidRDefault="00000000">
            <w:r>
              <w:rPr>
                <w:rFonts w:ascii="Calibri" w:hAnsi="Calibri"/>
                <w:b/>
                <w:sz w:val="17"/>
              </w:rPr>
              <w:t>Δ vs baseline</w:t>
            </w:r>
          </w:p>
        </w:tc>
      </w:tr>
      <w:tr w:rsidR="00455F66" w14:paraId="155C1C55" w14:textId="77777777">
        <w:tc>
          <w:tcPr>
            <w:tcW w:w="3120" w:type="dxa"/>
          </w:tcPr>
          <w:p w14:paraId="3450F964" w14:textId="77777777" w:rsidR="00455F66" w:rsidRDefault="00000000">
            <w:r>
              <w:rPr>
                <w:rFonts w:ascii="Calibri" w:hAnsi="Calibri"/>
                <w:sz w:val="17"/>
              </w:rPr>
              <w:t>Fixed-ξ SPLM</w:t>
            </w:r>
          </w:p>
        </w:tc>
        <w:tc>
          <w:tcPr>
            <w:tcW w:w="3120" w:type="dxa"/>
          </w:tcPr>
          <w:p w14:paraId="217C3990" w14:textId="77777777" w:rsidR="00455F66" w:rsidRDefault="00000000">
            <w:r>
              <w:rPr>
                <w:rFonts w:ascii="Calibri" w:hAnsi="Calibri"/>
                <w:sz w:val="17"/>
              </w:rPr>
              <w:t>287.4</w:t>
            </w:r>
          </w:p>
        </w:tc>
        <w:tc>
          <w:tcPr>
            <w:tcW w:w="3120" w:type="dxa"/>
          </w:tcPr>
          <w:p w14:paraId="35B900AF" w14:textId="77777777" w:rsidR="00455F66" w:rsidRDefault="00000000">
            <w:r>
              <w:rPr>
                <w:rFonts w:ascii="Calibri" w:hAnsi="Calibri"/>
                <w:sz w:val="17"/>
              </w:rPr>
              <w:t>—</w:t>
            </w:r>
          </w:p>
        </w:tc>
      </w:tr>
      <w:tr w:rsidR="00455F66" w14:paraId="4353EB26" w14:textId="77777777">
        <w:tc>
          <w:tcPr>
            <w:tcW w:w="3120" w:type="dxa"/>
          </w:tcPr>
          <w:p w14:paraId="09B7ABCB" w14:textId="77777777" w:rsidR="00455F66" w:rsidRDefault="00000000">
            <w:r>
              <w:rPr>
                <w:rFonts w:ascii="Calibri" w:hAnsi="Calibri"/>
                <w:sz w:val="17"/>
              </w:rPr>
              <w:t>SARF-faithful only</w:t>
            </w:r>
          </w:p>
        </w:tc>
        <w:tc>
          <w:tcPr>
            <w:tcW w:w="3120" w:type="dxa"/>
          </w:tcPr>
          <w:p w14:paraId="66464616" w14:textId="77777777" w:rsidR="00455F66" w:rsidRDefault="00000000">
            <w:r>
              <w:rPr>
                <w:rFonts w:ascii="Calibri" w:hAnsi="Calibri"/>
                <w:sz w:val="17"/>
              </w:rPr>
              <w:t>192.2</w:t>
            </w:r>
          </w:p>
        </w:tc>
        <w:tc>
          <w:tcPr>
            <w:tcW w:w="3120" w:type="dxa"/>
          </w:tcPr>
          <w:p w14:paraId="30FBB4CD" w14:textId="77777777" w:rsidR="00455F66" w:rsidRDefault="00000000">
            <w:r>
              <w:rPr>
                <w:rFonts w:ascii="Calibri" w:hAnsi="Calibri"/>
                <w:sz w:val="17"/>
              </w:rPr>
              <w:t>−33%</w:t>
            </w:r>
          </w:p>
        </w:tc>
      </w:tr>
      <w:tr w:rsidR="00455F66" w14:paraId="765D3C07" w14:textId="77777777">
        <w:tc>
          <w:tcPr>
            <w:tcW w:w="3120" w:type="dxa"/>
          </w:tcPr>
          <w:p w14:paraId="0570E002" w14:textId="77777777" w:rsidR="00455F66" w:rsidRDefault="00000000">
            <w:r>
              <w:rPr>
                <w:rFonts w:ascii="Calibri" w:hAnsi="Calibri"/>
                <w:sz w:val="17"/>
              </w:rPr>
              <w:t>SARF + embed-head mass (A)</w:t>
            </w:r>
          </w:p>
        </w:tc>
        <w:tc>
          <w:tcPr>
            <w:tcW w:w="3120" w:type="dxa"/>
          </w:tcPr>
          <w:p w14:paraId="564E5FFA" w14:textId="77777777" w:rsidR="00455F66" w:rsidRDefault="00000000">
            <w:r>
              <w:rPr>
                <w:rFonts w:ascii="Calibri" w:hAnsi="Calibri"/>
                <w:sz w:val="17"/>
              </w:rPr>
              <w:t>222.9</w:t>
            </w:r>
          </w:p>
        </w:tc>
        <w:tc>
          <w:tcPr>
            <w:tcW w:w="3120" w:type="dxa"/>
          </w:tcPr>
          <w:p w14:paraId="17C4DCF4" w14:textId="77777777" w:rsidR="00455F66" w:rsidRDefault="00000000">
            <w:r>
              <w:rPr>
                <w:rFonts w:ascii="Calibri" w:hAnsi="Calibri"/>
                <w:sz w:val="17"/>
              </w:rPr>
              <w:t>−22%</w:t>
            </w:r>
          </w:p>
        </w:tc>
      </w:tr>
      <w:tr w:rsidR="00455F66" w14:paraId="2FB3B69F" w14:textId="77777777">
        <w:tc>
          <w:tcPr>
            <w:tcW w:w="3120" w:type="dxa"/>
          </w:tcPr>
          <w:p w14:paraId="71D4CC01" w14:textId="77777777" w:rsidR="00455F66" w:rsidRDefault="00000000">
            <w:r>
              <w:rPr>
                <w:rFonts w:ascii="Calibri" w:hAnsi="Calibri"/>
                <w:sz w:val="17"/>
              </w:rPr>
              <w:t>SARF + logfreq mass (B)</w:t>
            </w:r>
          </w:p>
        </w:tc>
        <w:tc>
          <w:tcPr>
            <w:tcW w:w="3120" w:type="dxa"/>
          </w:tcPr>
          <w:p w14:paraId="0BA33F1F" w14:textId="77777777" w:rsidR="00455F66" w:rsidRDefault="00000000">
            <w:r>
              <w:rPr>
                <w:rFonts w:ascii="Calibri" w:hAnsi="Calibri"/>
                <w:sz w:val="17"/>
              </w:rPr>
              <w:t>160.6</w:t>
            </w:r>
          </w:p>
        </w:tc>
        <w:tc>
          <w:tcPr>
            <w:tcW w:w="3120" w:type="dxa"/>
          </w:tcPr>
          <w:p w14:paraId="10B94C60" w14:textId="77777777" w:rsidR="00455F66" w:rsidRDefault="00000000">
            <w:r>
              <w:rPr>
                <w:rFonts w:ascii="Calibri" w:hAnsi="Calibri"/>
                <w:sz w:val="17"/>
              </w:rPr>
              <w:t>−44%</w:t>
            </w:r>
          </w:p>
        </w:tc>
      </w:tr>
    </w:tbl>
    <w:p w14:paraId="1C71D100" w14:textId="77777777" w:rsidR="00455F66" w:rsidRDefault="00455F66"/>
    <w:p w14:paraId="556B9B4E" w14:textId="77777777" w:rsidR="00455F66" w:rsidRDefault="00000000">
      <w:pPr>
        <w:spacing w:after="120"/>
      </w:pPr>
      <w:r>
        <w:rPr>
          <w:rFonts w:ascii="Calibri" w:hAnsi="Calibri"/>
        </w:rPr>
        <w:t xml:space="preserve">This is the §14 flagship: one extra scalar parameter </w:t>
      </w:r>
      <m:oMath>
        <m:box>
          <m:boxPr>
            <m:ctrlPr>
              <w:rPr>
                <w:rFonts w:ascii="Cambria Math" w:hAnsi="Cambria Math"/>
              </w:rPr>
            </m:ctrlPr>
          </m:boxPr>
          <m:e>
            <m:r>
              <w:rPr>
                <w:rFonts w:ascii="Cambria Math" w:hAnsi="Cambria Math"/>
              </w:rPr>
              <m:t>α</m:t>
            </m:r>
          </m:e>
        </m:box>
      </m:oMath>
      <w:r>
        <w:rPr>
          <w:rFonts w:ascii="Calibri" w:hAnsi="Calibri"/>
        </w:rPr>
        <w:t xml:space="preserve"> plus a frozen vocabulary-sized surprisal tensor, reducing the gap to the matched GPT-2 baseline from ~2.0× to ~1.13×.</w:t>
      </w:r>
    </w:p>
    <w:p w14:paraId="1C31E2EB" w14:textId="77777777" w:rsidR="00131E5A" w:rsidRDefault="00131E5A"/>
    <w:p w14:paraId="40DB1435" w14:textId="77777777" w:rsidR="00D5238E" w:rsidRPr="00D5238E" w:rsidRDefault="00D5238E" w:rsidP="00D5238E"/>
    <w:p w14:paraId="2FA30FFE" w14:textId="77777777" w:rsidR="00131E5A" w:rsidRDefault="00131E5A"/>
    <w:p w14:paraId="1DA95BD7" w14:textId="77777777" w:rsidR="00131E5A" w:rsidRDefault="00EE632C" w:rsidP="00EE632C">
      <w:pPr>
        <w:pStyle w:val="Heading2"/>
      </w:pPr>
      <w:bookmarkStart w:id="66" w:name="_Toc240119414"/>
      <w:r>
        <w:t>Note on l</w:t>
      </w:r>
      <w:r w:rsidR="008B7133">
        <w:t xml:space="preserve">earning in Fock-PARFLM </w:t>
      </w:r>
      <w:r>
        <w:t xml:space="preserve">using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t xml:space="preserve"> energy landscape</w:t>
      </w:r>
      <w:bookmarkEnd w:id="66"/>
    </w:p>
    <w:p w14:paraId="05351569" w14:textId="77777777" w:rsidR="00EE632C" w:rsidRDefault="00EE632C"/>
    <w:p w14:paraId="60830980" w14:textId="77777777" w:rsidR="00EE632C" w:rsidRDefault="00EE632C">
      <w:pPr>
        <w:rPr>
          <w:rFonts w:eastAsiaTheme="minorEastAsia"/>
        </w:rPr>
      </w:pPr>
      <w:r>
        <w:t xml:space="preserve">Fock-PARFLM set up in an energy landscape composed by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wells learns in a variety of ways-</w:t>
      </w:r>
    </w:p>
    <w:p w14:paraId="1E1061B9" w14:textId="77777777" w:rsidR="00EE632C" w:rsidRDefault="00EE632C">
      <w:pPr>
        <w:rPr>
          <w:rFonts w:eastAsiaTheme="minorEastAsia"/>
        </w:rPr>
      </w:pPr>
    </w:p>
    <w:p w14:paraId="7581B119" w14:textId="77777777" w:rsidR="00F5632F" w:rsidRDefault="003E3CAE">
      <w:pPr>
        <w:rPr>
          <w:rFonts w:eastAsiaTheme="minorEastAsia"/>
        </w:rPr>
      </w:pPr>
      <w:r>
        <w:rPr>
          <w:rFonts w:eastAsiaTheme="minorEastAsia"/>
        </w:rPr>
        <w:t xml:space="preserve">For example let us consider Gaussian wells with learned anchors. </w:t>
      </w:r>
      <w:r w:rsidR="00F5632F">
        <w:rPr>
          <w:rFonts w:eastAsiaTheme="minorEastAsia"/>
        </w:rPr>
        <w:t xml:space="preserve">The code defining the mixture of Gaussian wells with learned anchors is in the class </w:t>
      </w:r>
      <w:r w:rsidR="00F5632F" w:rsidRPr="00F5632F">
        <w:rPr>
          <w:rFonts w:ascii="Consolas" w:eastAsiaTheme="minorEastAsia" w:hAnsi="Consolas" w:cs="Consolas"/>
          <w:sz w:val="17"/>
          <w:szCs w:val="17"/>
        </w:rPr>
        <w:t>MixtureGaussianVTheta</w:t>
      </w:r>
      <w:r w:rsidR="00F5632F">
        <w:rPr>
          <w:rFonts w:eastAsiaTheme="minorEastAsia"/>
        </w:rPr>
        <w:t xml:space="preserve">. </w:t>
      </w:r>
      <w:r w:rsidR="009E262D">
        <w:rPr>
          <w:rFonts w:eastAsiaTheme="minorEastAsia"/>
        </w:rPr>
        <w:t xml:space="preserve">The optimized anchors are learned linear function of the context </w:t>
      </w:r>
      <m:oMath>
        <m:r>
          <w:rPr>
            <w:rFonts w:ascii="Cambria Math" w:eastAsiaTheme="minorEastAsia" w:hAnsi="Cambria Math"/>
          </w:rPr>
          <m:t>ξ</m:t>
        </m:r>
      </m:oMath>
      <w:r w:rsidR="009E262D">
        <w:rPr>
          <w:rFonts w:eastAsiaTheme="minorEastAsia"/>
        </w:rPr>
        <w:t>:</w:t>
      </w:r>
    </w:p>
    <w:p w14:paraId="0B740372" w14:textId="77777777" w:rsidR="00F5632F" w:rsidRDefault="00F5632F">
      <w:pPr>
        <w:rPr>
          <w:rFonts w:eastAsiaTheme="minorEastAsia"/>
        </w:rPr>
      </w:pPr>
    </w:p>
    <w:p w14:paraId="7CB4ED86" w14:textId="77777777" w:rsidR="00F5632F" w:rsidRDefault="00F5632F">
      <w:pPr>
        <w:rPr>
          <w:rFonts w:eastAsiaTheme="minorEastAsia"/>
        </w:rPr>
      </w:pPr>
      <w:hyperlink r:id="rId24" w:anchor="L93-L95" w:history="1">
        <w:r w:rsidRPr="009E262D">
          <w:rPr>
            <w:rStyle w:val="Hyperlink"/>
            <w:rFonts w:eastAsiaTheme="minorEastAsia"/>
          </w:rPr>
          <w:t>model_gaussian_vtheta.py, lines 93-95</w:t>
        </w:r>
      </w:hyperlink>
      <w:r>
        <w:rPr>
          <w:rFonts w:eastAsiaTheme="minorEastAsia"/>
        </w:rPr>
        <w:t>:</w:t>
      </w:r>
    </w:p>
    <w:p w14:paraId="440927F6" w14:textId="77777777" w:rsidR="009E262D" w:rsidRDefault="009E262D" w:rsidP="00F5632F">
      <w:pPr>
        <w:rPr>
          <w:rFonts w:eastAsiaTheme="minorEastAsia"/>
        </w:rPr>
      </w:pPr>
    </w:p>
    <w:p w14:paraId="2E4EF2FE"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self.mu_proj = nn.Linear(in_d, K * d)</w:t>
      </w:r>
    </w:p>
    <w:p w14:paraId="25CCBFF5"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self.a_proj = nn.Linear(in_d, K * d)</w:t>
      </w:r>
    </w:p>
    <w:p w14:paraId="3AECF0FF"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self.w_proj = nn.Linear(in_d, K)</w:t>
      </w:r>
    </w:p>
    <w:p w14:paraId="2EE63C0E" w14:textId="77777777" w:rsidR="00F5632F" w:rsidRDefault="00F5632F" w:rsidP="00F5632F">
      <w:pPr>
        <w:rPr>
          <w:rFonts w:eastAsiaTheme="minorEastAsia"/>
        </w:rPr>
      </w:pPr>
    </w:p>
    <w:p w14:paraId="519AC19F" w14:textId="77777777" w:rsidR="009E262D" w:rsidRDefault="00AD1621" w:rsidP="00F5632F">
      <w:pPr>
        <w:rPr>
          <w:rFonts w:eastAsiaTheme="minorEastAsia"/>
        </w:rPr>
      </w:pPr>
      <w:r>
        <w:rPr>
          <w:rFonts w:eastAsiaTheme="minorEastAsia"/>
        </w:rPr>
        <w:t xml:space="preserve">So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Pr>
          <w:rFonts w:eastAsiaTheme="minorEastAsia"/>
        </w:rPr>
        <w:t xml:space="preserve"> </w:t>
      </w:r>
      <w:r w:rsidRPr="00D02CC9">
        <w:rPr>
          <w:rFonts w:ascii="Consolas" w:eastAsiaTheme="minorEastAsia" w:hAnsi="Consolas" w:cs="Consolas"/>
          <w:color w:val="7030A0"/>
          <w:sz w:val="17"/>
          <w:szCs w:val="17"/>
        </w:rPr>
        <w:t>self</w:t>
      </w:r>
      <w:r w:rsidRPr="009E262D">
        <w:rPr>
          <w:rFonts w:ascii="Consolas" w:eastAsiaTheme="minorEastAsia" w:hAnsi="Consolas" w:cs="Consolas"/>
          <w:sz w:val="17"/>
          <w:szCs w:val="17"/>
        </w:rPr>
        <w:t>.mu_proj</w:t>
      </w:r>
      <w:r>
        <w:rPr>
          <w:rFonts w:ascii="Consolas" w:eastAsiaTheme="minorEastAsia" w:hAnsi="Consolas" w:cs="Consolas"/>
          <w:sz w:val="17"/>
          <w:szCs w:val="17"/>
        </w:rPr>
        <w:t xml:space="preserve">(xi),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D02CC9">
        <w:rPr>
          <w:rFonts w:eastAsiaTheme="minorEastAsia"/>
        </w:rPr>
        <w:t xml:space="preserve"> </w:t>
      </w:r>
      <w:r w:rsidR="00D02CC9" w:rsidRPr="00D02CC9">
        <w:rPr>
          <w:rFonts w:ascii="Consolas" w:eastAsiaTheme="minorEastAsia" w:hAnsi="Consolas" w:cs="Consolas"/>
          <w:sz w:val="17"/>
          <w:szCs w:val="17"/>
        </w:rPr>
        <w:t>F.softplus(</w:t>
      </w:r>
      <w:r w:rsidR="00D02CC9" w:rsidRPr="00D02CC9">
        <w:rPr>
          <w:rFonts w:ascii="Consolas" w:eastAsiaTheme="minorEastAsia" w:hAnsi="Consolas" w:cs="Consolas"/>
          <w:color w:val="7030A0"/>
          <w:sz w:val="17"/>
          <w:szCs w:val="17"/>
        </w:rPr>
        <w:t>self</w:t>
      </w:r>
      <w:r w:rsidR="00D02CC9" w:rsidRPr="00D02CC9">
        <w:rPr>
          <w:rFonts w:ascii="Consolas" w:eastAsiaTheme="minorEastAsia" w:hAnsi="Consolas" w:cs="Consolas"/>
          <w:sz w:val="17"/>
          <w:szCs w:val="17"/>
        </w:rPr>
        <w:t>.a_proj(xi))</w:t>
      </w:r>
      <w:r w:rsidR="009231F3">
        <w:rPr>
          <w:rFonts w:ascii="Consolas" w:eastAsiaTheme="minorEastAsia" w:hAnsi="Consolas" w:cs="Consolas"/>
          <w:sz w:val="17"/>
          <w:szCs w:val="17"/>
        </w:rPr>
        <w:t xml:space="preserve">, </w:t>
      </w:r>
      <m:oMath>
        <m:sSub>
          <m:sSubPr>
            <m:ctrlPr>
              <w:rPr>
                <w:rFonts w:ascii="Cambria Math" w:eastAsiaTheme="minorEastAsia" w:hAnsi="Cambria Math" w:cs="Consolas"/>
                <w:i/>
                <w:sz w:val="17"/>
                <w:szCs w:val="17"/>
              </w:rPr>
            </m:ctrlPr>
          </m:sSubPr>
          <m:e>
            <m:r>
              <w:rPr>
                <w:rFonts w:ascii="Cambria Math" w:eastAsiaTheme="minorEastAsia" w:hAnsi="Cambria Math" w:cs="Consolas"/>
                <w:sz w:val="17"/>
                <w:szCs w:val="17"/>
              </w:rPr>
              <m:t>w</m:t>
            </m:r>
          </m:e>
          <m:sub>
            <m:r>
              <w:rPr>
                <w:rFonts w:ascii="Cambria Math" w:eastAsiaTheme="minorEastAsia" w:hAnsi="Cambria Math" w:cs="Consolas"/>
                <w:sz w:val="17"/>
                <w:szCs w:val="17"/>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9231F3" w:rsidRPr="009231F3">
        <w:rPr>
          <w:rFonts w:ascii="Consolas" w:eastAsiaTheme="minorEastAsia" w:hAnsi="Consolas" w:cs="Consolas"/>
          <w:sz w:val="17"/>
          <w:szCs w:val="17"/>
        </w:rPr>
        <w:t xml:space="preserve"> F.softmax(self.w_proj(xi))</w:t>
      </w:r>
    </w:p>
    <w:p w14:paraId="3902D71D" w14:textId="77777777" w:rsidR="009E262D" w:rsidRDefault="00176030" w:rsidP="00F5632F">
      <w:pPr>
        <w:rPr>
          <w:rFonts w:eastAsiaTheme="minorEastAsia"/>
        </w:rPr>
      </w:pPr>
      <w:r>
        <w:rPr>
          <w:rFonts w:eastAsiaTheme="minorEastAsia"/>
        </w:rPr>
        <w:t xml:space="preserve">The centres move with every token context. Note that in class </w:t>
      </w:r>
      <w:r w:rsidRPr="00176030">
        <w:rPr>
          <w:rFonts w:ascii="Consolas" w:eastAsiaTheme="minorEastAsia" w:hAnsi="Consolas" w:cs="Consolas"/>
          <w:sz w:val="17"/>
          <w:szCs w:val="17"/>
        </w:rPr>
        <w:t>SARFGaussianVTheta</w:t>
      </w:r>
      <w:r>
        <w:rPr>
          <w:rFonts w:eastAsiaTheme="minorEastAsia"/>
        </w:rPr>
        <w:t xml:space="preserve"> </w:t>
      </w:r>
      <w:r w:rsidR="00F4739C">
        <w:rPr>
          <w:rFonts w:eastAsiaTheme="minorEastAsia"/>
        </w:rPr>
        <w:t xml:space="preserve">, corresponding to fixed Gaussian well anchors, </w:t>
      </w:r>
      <w:r>
        <w:rPr>
          <w:rFonts w:eastAsiaTheme="minorEastAsia"/>
        </w:rPr>
        <w:t xml:space="preserve">we have an alternative implementation  where the anchors are frozen buffers and only </w:t>
      </w:r>
      <w:r w:rsidRPr="00176030">
        <w:rPr>
          <w:rFonts w:ascii="Consolas" w:eastAsiaTheme="minorEastAsia" w:hAnsi="Consolas" w:cs="Consolas"/>
          <w:sz w:val="17"/>
          <w:szCs w:val="17"/>
        </w:rPr>
        <w:t>log_sigma + w_proj</w:t>
      </w:r>
      <w:r>
        <w:rPr>
          <w:rFonts w:eastAsiaTheme="minorEastAsia"/>
        </w:rPr>
        <w:t xml:space="preserve"> are learned. </w:t>
      </w:r>
      <w:r w:rsidR="00F4739C">
        <w:rPr>
          <w:rFonts w:eastAsiaTheme="minorEastAsia"/>
        </w:rPr>
        <w:t xml:space="preserve">So in this scenario of fixed anchors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635742">
        <w:rPr>
          <w:rFonts w:eastAsiaTheme="minorEastAsia"/>
        </w:rPr>
        <w:t>’s learnable parameters are the weights and biases of those three projections – not the well positions directly.</w:t>
      </w:r>
    </w:p>
    <w:p w14:paraId="3D035205" w14:textId="77777777" w:rsidR="00F91513" w:rsidRDefault="00F91513" w:rsidP="00F5632F">
      <w:pPr>
        <w:rPr>
          <w:rFonts w:eastAsiaTheme="minorEastAsia"/>
        </w:rPr>
      </w:pPr>
    </w:p>
    <w:p w14:paraId="436E6587" w14:textId="77777777" w:rsidR="00F91513" w:rsidRDefault="00F91513" w:rsidP="00F5632F">
      <w:pPr>
        <w:rPr>
          <w:rFonts w:eastAsiaTheme="minorEastAsia"/>
        </w:rPr>
      </w:pPr>
    </w:p>
    <w:p w14:paraId="7D39D277" w14:textId="77777777" w:rsidR="00455F66" w:rsidRDefault="00000000">
      <w:pPr>
        <w:spacing w:after="120"/>
      </w:pPr>
      <w:r>
        <w:rPr>
          <w:rFonts w:ascii="Calibri" w:hAnsi="Calibri"/>
        </w:rPr>
        <w:t>While the model learns through a semantic energy landscape, the Gaussian wells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represent only a small fraction of the total learnable parameters. In the specific run mentioned, the model has approximately 33.9 million parameters in total, dominated by tied token embeddings, the pairwise term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and the Fock register machinery.</w:t>
      </w:r>
    </w:p>
    <w:p w14:paraId="2E4C2B0C" w14:textId="77777777" w:rsidR="00455F66" w:rsidRDefault="00000000">
      <w:pPr>
        <w:pStyle w:val="Heading3"/>
        <w:spacing w:after="120"/>
      </w:pPr>
      <w:bookmarkStart w:id="67" w:name="_Toc240119415"/>
      <w:r>
        <w:rPr>
          <w:rFonts w:ascii="Calibri" w:hAnsi="Calibri"/>
          <w:sz w:val="19"/>
        </w:rPr>
        <w:t>Clarification on “optimised anchors”</w:t>
      </w:r>
      <w:bookmarkEnd w:id="67"/>
    </w:p>
    <w:p w14:paraId="3B1C431A" w14:textId="77777777" w:rsidR="00455F66" w:rsidRDefault="00000000">
      <w:pPr>
        <w:spacing w:after="120"/>
      </w:pPr>
      <w:r>
        <w:rPr>
          <w:rFonts w:ascii="Calibri" w:hAnsi="Calibri"/>
        </w:rPr>
        <w:t xml:space="preserve">In the </w:t>
      </w:r>
      <w:r w:rsidRPr="00210ABE">
        <w:rPr>
          <w:rFonts w:ascii="Consolas" w:hAnsi="Consolas" w:cs="Consolas"/>
          <w:sz w:val="17"/>
          <w:szCs w:val="17"/>
        </w:rPr>
        <w:t>MixtureGaussianVTheta</w:t>
      </w:r>
      <w:r>
        <w:rPr>
          <w:rFonts w:ascii="Calibri" w:hAnsi="Calibri"/>
        </w:rPr>
        <w:t xml:space="preserve"> variant the centres are a learned linear function of the context </w:t>
      </w:r>
      <m:oMath>
        <m:box>
          <m:boxPr>
            <m:ctrlPr>
              <w:rPr>
                <w:rFonts w:ascii="Cambria Math" w:hAnsi="Cambria Math"/>
              </w:rPr>
            </m:ctrlPr>
          </m:boxPr>
          <m:e>
            <m:r>
              <w:rPr>
                <w:rFonts w:ascii="Cambria Math" w:hAnsi="Cambria Math"/>
              </w:rPr>
              <m:t>ξ</m:t>
            </m:r>
          </m:e>
        </m:box>
      </m:oMath>
      <w:r>
        <w:rPr>
          <w:rFonts w:ascii="Calibri" w:hAnsi="Calibri"/>
        </w:rPr>
        <w:t>. Implementation (</w:t>
      </w:r>
      <w:r w:rsidRPr="00210ABE">
        <w:rPr>
          <w:rFonts w:ascii="Consolas" w:hAnsi="Consolas" w:cs="Consolas"/>
          <w:sz w:val="17"/>
          <w:szCs w:val="17"/>
        </w:rPr>
        <w:t>model_gaussian_vtheta.py</w:t>
      </w:r>
      <w:r>
        <w:rPr>
          <w:rFonts w:ascii="Calibri" w:hAnsi="Calibri"/>
        </w:rPr>
        <w:t>, lines 93–95):</w:t>
      </w:r>
    </w:p>
    <w:p w14:paraId="46470AD2" w14:textId="77777777" w:rsidR="00455F66" w:rsidRDefault="00000000">
      <w:pPr>
        <w:spacing w:after="120"/>
        <w:ind w:left="360"/>
      </w:pPr>
      <w:r>
        <w:rPr>
          <w:rFonts w:ascii="Consolas" w:hAnsi="Consolas"/>
          <w:sz w:val="17"/>
        </w:rPr>
        <w:t>self.mu_proj = nn.Linear(in_d, K * d)</w:t>
      </w:r>
      <w:r>
        <w:rPr>
          <w:rFonts w:ascii="Consolas" w:hAnsi="Consolas"/>
          <w:sz w:val="17"/>
        </w:rPr>
        <w:br/>
        <w:t>self.a_proj  = nn.Linear(in_d, K * d)</w:t>
      </w:r>
      <w:r>
        <w:rPr>
          <w:rFonts w:ascii="Consolas" w:hAnsi="Consolas"/>
          <w:sz w:val="17"/>
        </w:rPr>
        <w:br/>
        <w:t>self.w_proj  = nn.Linear(in_d, K)</w:t>
      </w:r>
    </w:p>
    <w:p w14:paraId="2E76F3FB"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mu_proj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247AA7E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r>
                <m:rPr>
                  <m:sty m:val="p"/>
                </m:rPr>
                <w:rPr>
                  <w:rFonts w:ascii="Cambria Math" w:hAnsi="Cambria Math"/>
                </w:rPr>
                <m:t>(</m:t>
              </m:r>
              <m:box>
                <m:boxPr>
                  <m:ctrlPr>
                    <w:rPr>
                      <w:rFonts w:ascii="Cambria Math" w:hAnsi="Cambria Math"/>
                    </w:rPr>
                  </m:ctrlPr>
                </m:boxPr>
                <m:e>
                  <m:r>
                    <m:rPr>
                      <m:sty m:val="p"/>
                    </m:rPr>
                    <w:rPr>
                      <w:rFonts w:ascii="Cambria Math" w:hAnsi="Cambria Math"/>
                    </w:rPr>
                    <m:t>a_proj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1088C402"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box>
                <m:boxPr>
                  <m:ctrlPr>
                    <w:rPr>
                      <w:rFonts w:ascii="Cambria Math" w:hAnsi="Cambria Math"/>
                    </w:rPr>
                  </m:ctrlPr>
                </m:boxPr>
                <m:e>
                  <m:r>
                    <m:rPr>
                      <m:sty m:val="p"/>
                    </m:rPr>
                    <w:rPr>
                      <w:rFonts w:ascii="Cambria Math" w:hAnsi="Cambria Math"/>
                    </w:rPr>
                    <m:t>w_proj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69D427D6" w14:textId="77777777" w:rsidR="00455F66" w:rsidRDefault="00000000">
      <w:pPr>
        <w:spacing w:after="120"/>
      </w:pPr>
      <w:r>
        <w:rPr>
          <w:rFonts w:ascii="Calibri" w:hAnsi="Calibri"/>
        </w:rPr>
        <w:t xml:space="preserve">Because these parameters are functions of </w:t>
      </w:r>
      <m:oMath>
        <m:box>
          <m:boxPr>
            <m:ctrlPr>
              <w:rPr>
                <w:rFonts w:ascii="Cambria Math" w:hAnsi="Cambria Math"/>
              </w:rPr>
            </m:ctrlPr>
          </m:boxPr>
          <m:e>
            <m:r>
              <w:rPr>
                <w:rFonts w:ascii="Cambria Math" w:hAnsi="Cambria Math"/>
              </w:rPr>
              <m:t>ξ</m:t>
            </m:r>
          </m:e>
        </m:box>
      </m:oMath>
      <w:r>
        <w:rPr>
          <w:rFonts w:ascii="Calibri" w:hAnsi="Calibri"/>
        </w:rPr>
        <w:t xml:space="preserve">, the centres move with every token’s context. By contrast, </w:t>
      </w:r>
      <w:r w:rsidRPr="009A0FD8">
        <w:rPr>
          <w:rFonts w:ascii="Consolas" w:hAnsi="Consolas" w:cs="Consolas"/>
          <w:sz w:val="17"/>
          <w:szCs w:val="17"/>
        </w:rPr>
        <w:t>SARFGaussianVTheta</w:t>
      </w:r>
      <w:r>
        <w:rPr>
          <w:rFonts w:ascii="Calibri" w:hAnsi="Calibri"/>
        </w:rPr>
        <w:t xml:space="preserve"> uses a fixed anchor set: anchors is a frozen buffer, and only </w:t>
      </w:r>
      <w:r w:rsidRPr="009A0FD8">
        <w:rPr>
          <w:rFonts w:ascii="Consolas" w:hAnsi="Consolas" w:cs="Consolas"/>
          <w:sz w:val="17"/>
          <w:szCs w:val="17"/>
        </w:rPr>
        <w:t>log_sigma</w:t>
      </w:r>
      <w:r>
        <w:rPr>
          <w:rFonts w:ascii="Calibri" w:hAnsi="Calibri"/>
        </w:rPr>
        <w:t xml:space="preserve"> and </w:t>
      </w:r>
      <w:r w:rsidRPr="009A0FD8">
        <w:rPr>
          <w:rFonts w:ascii="Consolas" w:hAnsi="Consolas" w:cs="Consolas"/>
          <w:sz w:val="17"/>
          <w:szCs w:val="17"/>
        </w:rPr>
        <w:t>w_proj</w:t>
      </w:r>
      <w:r>
        <w:rPr>
          <w:rFonts w:ascii="Calibri" w:hAnsi="Calibri"/>
        </w:rPr>
        <w:t xml:space="preserve"> are learned. The learnable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parameters are therefore the weights and biases of those projection layers, rather than the direct positions of the wells themselves.</w:t>
      </w:r>
    </w:p>
    <w:p w14:paraId="0B0935E8" w14:textId="77777777" w:rsidR="00176030" w:rsidRDefault="00176030" w:rsidP="00F5632F">
      <w:pPr>
        <w:rPr>
          <w:rFonts w:eastAsiaTheme="minorEastAsia"/>
        </w:rPr>
      </w:pPr>
    </w:p>
    <w:p w14:paraId="7B65ADBD" w14:textId="77777777" w:rsidR="00F509E9" w:rsidRPr="00F509E9" w:rsidRDefault="00F509E9" w:rsidP="00F5632F">
      <w:pPr>
        <w:rPr>
          <w:rFonts w:eastAsiaTheme="minorEastAsia"/>
          <w:u w:val="single"/>
        </w:rPr>
      </w:pPr>
      <w:r w:rsidRPr="00F509E9">
        <w:rPr>
          <w:rFonts w:eastAsiaTheme="minorEastAsia"/>
          <w:u w:val="single"/>
        </w:rPr>
        <w:t xml:space="preserve">What else in the model is learnable ? </w:t>
      </w:r>
    </w:p>
    <w:p w14:paraId="06C72F2A" w14:textId="77777777" w:rsidR="00F509E9" w:rsidRDefault="00F509E9" w:rsidP="00F5632F">
      <w:pPr>
        <w:rPr>
          <w:rFonts w:eastAsiaTheme="minorEastAsia"/>
        </w:rPr>
      </w:pPr>
      <w:r>
        <w:rPr>
          <w:rFonts w:eastAsiaTheme="minorEastAsia"/>
        </w:rPr>
        <w:t>Everything which carries gradients is learnable. So the question becomes which quantities carry gradients.</w:t>
      </w:r>
    </w:p>
    <w:p w14:paraId="22690958" w14:textId="77777777" w:rsidR="00F509E9" w:rsidRDefault="00F509E9" w:rsidP="00F5632F">
      <w:pPr>
        <w:rPr>
          <w:rFonts w:eastAsiaTheme="minorEastAsia"/>
        </w:rPr>
      </w:pPr>
    </w:p>
    <w:p w14:paraId="32983974" w14:textId="77777777" w:rsidR="008054E3" w:rsidRDefault="008054E3" w:rsidP="00F5632F">
      <w:pPr>
        <w:rPr>
          <w:rFonts w:eastAsiaTheme="minorEastAsia"/>
        </w:rPr>
      </w:pPr>
      <w:r>
        <w:rPr>
          <w:rFonts w:eastAsiaTheme="minorEastAsia"/>
        </w:rPr>
        <w:t xml:space="preserve"> </w:t>
      </w:r>
      <w:r w:rsidRPr="0029499A">
        <w:rPr>
          <w:rFonts w:eastAsiaTheme="minorEastAsia"/>
          <w:b/>
          <w:bCs/>
        </w:rPr>
        <w:t xml:space="preserve"> Token embedding</w:t>
      </w:r>
      <w:r>
        <w:rPr>
          <w:rFonts w:eastAsiaTheme="minorEastAsia"/>
        </w:rPr>
        <w:t xml:space="preserve"> </w:t>
      </w:r>
      <w:r w:rsidRPr="0029499A">
        <w:rPr>
          <w:rFonts w:ascii="Consolas" w:eastAsiaTheme="minorEastAsia" w:hAnsi="Consolas" w:cs="Consolas"/>
          <w:sz w:val="17"/>
          <w:szCs w:val="17"/>
        </w:rPr>
        <w:t>E</w:t>
      </w:r>
      <w:r w:rsidR="0029499A">
        <w:rPr>
          <w:rFonts w:eastAsiaTheme="minorEastAsia"/>
        </w:rPr>
        <w:t xml:space="preserve"> – </w:t>
      </w:r>
      <w:r w:rsidR="0029499A" w:rsidRPr="007461EE">
        <w:rPr>
          <w:rFonts w:ascii="Consolas" w:eastAsiaTheme="minorEastAsia" w:hAnsi="Consolas" w:cs="Consolas"/>
          <w:sz w:val="17"/>
          <w:szCs w:val="17"/>
        </w:rPr>
        <w:t>nn.Embedding(vocab, d)</w:t>
      </w:r>
      <w:r w:rsidR="0029499A">
        <w:rPr>
          <w:rFonts w:eastAsiaTheme="minorEastAsia"/>
        </w:rPr>
        <w:t xml:space="preserve">, the largest single block </w:t>
      </w:r>
      <w:r w:rsidR="007461EE">
        <w:rPr>
          <w:rFonts w:eastAsiaTheme="minorEastAsia"/>
        </w:rPr>
        <w:t xml:space="preserve">( </w:t>
      </w:r>
      <m:oMath>
        <m:r>
          <w:rPr>
            <w:rFonts w:ascii="Cambria Math" w:eastAsiaTheme="minorEastAsia" w:hAnsi="Cambria Math"/>
          </w:rPr>
          <m:t>~19M</m:t>
        </m:r>
      </m:oMath>
      <w:r w:rsidR="007461EE">
        <w:rPr>
          <w:rFonts w:eastAsiaTheme="minorEastAsia"/>
        </w:rPr>
        <w:t xml:space="preserve"> at vocab </w:t>
      </w:r>
      <m:oMath>
        <m:r>
          <w:rPr>
            <w:rFonts w:ascii="Cambria Math" w:eastAsiaTheme="minorEastAsia" w:hAnsi="Cambria Math"/>
          </w:rPr>
          <m:t>V=50257, d=384</m:t>
        </m:r>
      </m:oMath>
      <w:r w:rsidR="007461EE">
        <w:rPr>
          <w:rFonts w:eastAsiaTheme="minorEastAsia"/>
        </w:rPr>
        <w:t>)</w:t>
      </w:r>
    </w:p>
    <w:p w14:paraId="14E0F1BB" w14:textId="77777777" w:rsidR="00F91513" w:rsidRDefault="00F91513" w:rsidP="00F5632F">
      <w:pPr>
        <w:rPr>
          <w:rFonts w:eastAsiaTheme="minorEastAsia"/>
        </w:rPr>
      </w:pPr>
    </w:p>
    <w:p w14:paraId="14A65D91" w14:textId="77777777" w:rsidR="00DB363A" w:rsidRDefault="00DB363A" w:rsidP="00F5632F">
      <w:pPr>
        <w:rPr>
          <w:rFonts w:eastAsiaTheme="minorEastAsia"/>
        </w:rPr>
      </w:pPr>
      <w:hyperlink r:id="rId25" w:anchor="L1064-L1078" w:history="1">
        <w:r w:rsidRPr="00DB363A">
          <w:rPr>
            <w:rStyle w:val="Hyperlink"/>
            <w:rFonts w:eastAsiaTheme="minorEastAsia"/>
          </w:rPr>
          <w:t>model_parf.py, lines 1064-1078</w:t>
        </w:r>
      </w:hyperlink>
    </w:p>
    <w:p w14:paraId="4D6033DB" w14:textId="77777777" w:rsidR="00DB363A" w:rsidRDefault="00DB363A" w:rsidP="00F5632F">
      <w:pPr>
        <w:rPr>
          <w:rFonts w:eastAsiaTheme="minorEastAsia"/>
        </w:rPr>
      </w:pPr>
    </w:p>
    <w:p w14:paraId="7EB22A87" w14:textId="77777777" w:rsidR="00DB363A" w:rsidRPr="00DB363A" w:rsidRDefault="00DB363A" w:rsidP="00DB363A">
      <w:pPr>
        <w:rPr>
          <w:rFonts w:ascii="Consolas" w:eastAsiaTheme="minorEastAsia" w:hAnsi="Consolas" w:cs="Consolas"/>
          <w:sz w:val="17"/>
          <w:szCs w:val="17"/>
        </w:rPr>
      </w:pPr>
      <w:r w:rsidRPr="0013026D">
        <w:rPr>
          <w:rFonts w:ascii="Consolas" w:eastAsiaTheme="minorEastAsia" w:hAnsi="Consolas" w:cs="Consolas"/>
          <w:color w:val="C00000"/>
          <w:sz w:val="17"/>
          <w:szCs w:val="17"/>
        </w:rPr>
        <w:t>def</w:t>
      </w:r>
      <w:r w:rsidRPr="00DB363A">
        <w:rPr>
          <w:rFonts w:ascii="Consolas" w:eastAsiaTheme="minorEastAsia" w:hAnsi="Consolas" w:cs="Consolas"/>
          <w:sz w:val="17"/>
          <w:szCs w:val="17"/>
        </w:rPr>
        <w:t xml:space="preserve"> </w:t>
      </w:r>
      <w:r w:rsidRPr="0013026D">
        <w:rPr>
          <w:rFonts w:ascii="Consolas" w:eastAsiaTheme="minorEastAsia" w:hAnsi="Consolas" w:cs="Consolas"/>
          <w:color w:val="80340D" w:themeColor="accent2" w:themeShade="80"/>
          <w:sz w:val="17"/>
          <w:szCs w:val="17"/>
        </w:rPr>
        <w:t>compute_logits</w:t>
      </w:r>
      <w:r w:rsidRPr="00DB363A">
        <w:rPr>
          <w:rFonts w:ascii="Consolas" w:eastAsiaTheme="minorEastAsia" w:hAnsi="Consolas" w:cs="Consolas"/>
          <w:sz w:val="17"/>
          <w:szCs w:val="17"/>
        </w:rPr>
        <w:t>(</w:t>
      </w:r>
      <w:r w:rsidRPr="0013026D">
        <w:rPr>
          <w:rFonts w:ascii="Consolas" w:eastAsiaTheme="minorEastAsia" w:hAnsi="Consolas" w:cs="Consolas"/>
          <w:color w:val="7030A0"/>
          <w:sz w:val="17"/>
          <w:szCs w:val="17"/>
        </w:rPr>
        <w:t>self</w:t>
      </w:r>
      <w:r w:rsidRPr="00DB363A">
        <w:rPr>
          <w:rFonts w:ascii="Consolas" w:eastAsiaTheme="minorEastAsia" w:hAnsi="Consolas" w:cs="Consolas"/>
          <w:sz w:val="17"/>
          <w:szCs w:val="17"/>
        </w:rPr>
        <w:t>, h_L: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 -&gt;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w:t>
      </w:r>
    </w:p>
    <w:p w14:paraId="1416724F"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"""Project final hidden state to vocab logits via the read-out head.</w:t>
      </w:r>
    </w:p>
    <w:p w14:paraId="3C2BFE84" w14:textId="77777777" w:rsidR="00DB363A" w:rsidRPr="00DB363A" w:rsidRDefault="00DB363A" w:rsidP="00DB363A">
      <w:pPr>
        <w:rPr>
          <w:rFonts w:ascii="Consolas" w:eastAsiaTheme="minorEastAsia" w:hAnsi="Consolas" w:cs="Consolas"/>
          <w:sz w:val="17"/>
          <w:szCs w:val="17"/>
        </w:rPr>
      </w:pPr>
    </w:p>
    <w:p w14:paraId="7ECFE22B"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Uses the dedicated W_out when untied, else the tied E^T, and adds the</w:t>
      </w:r>
    </w:p>
    <w:p w14:paraId="0824921F"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optional learned output bias.  Diagnostics that reconstruct logits by</w:t>
      </w:r>
    </w:p>
    <w:p w14:paraId="7E066488"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hand should call this (rather than `h_L @ E.weight.T`) so the bias /</w:t>
      </w:r>
    </w:p>
    <w:p w14:paraId="564BBB3A"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untied head are respected.</w:t>
      </w:r>
    </w:p>
    <w:p w14:paraId="325A89C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p>
    <w:p w14:paraId="566515E6"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lastRenderedPageBreak/>
        <w:t xml:space="preserve">    if self.lm_head is not None:</w:t>
      </w:r>
    </w:p>
    <w:p w14:paraId="7F05FAA2"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self.lm_head(h_L)</w:t>
      </w:r>
    </w:p>
    <w:p w14:paraId="236D1024"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else:</w:t>
      </w:r>
    </w:p>
    <w:p w14:paraId="2A10EF26"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r>
        <w:rPr>
          <w:rFonts w:ascii="Consolas" w:eastAsiaTheme="minorEastAsia" w:hAnsi="Consolas" w:cs="Consolas"/>
          <w:sz w:val="17"/>
          <w:szCs w:val="17"/>
        </w:rPr>
        <w:t xml:space="preserve"> </w:t>
      </w:r>
      <w:r w:rsidRPr="00DB363A">
        <w:rPr>
          <w:rFonts w:ascii="Consolas" w:eastAsiaTheme="minorEastAsia" w:hAnsi="Consolas" w:cs="Consolas"/>
          <w:sz w:val="17"/>
          <w:szCs w:val="17"/>
        </w:rPr>
        <w:t>logits = h_L @ self.E.weight.T</w:t>
      </w:r>
    </w:p>
    <w:p w14:paraId="66B355E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self.out_bias is not None:</w:t>
      </w:r>
    </w:p>
    <w:p w14:paraId="08F260C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logits + self.out_bias</w:t>
      </w:r>
    </w:p>
    <w:p w14:paraId="55764837"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return logits</w:t>
      </w:r>
    </w:p>
    <w:p w14:paraId="35BD551A" w14:textId="77777777" w:rsidR="00DB363A" w:rsidRDefault="00DB363A" w:rsidP="00F5632F">
      <w:pPr>
        <w:rPr>
          <w:rFonts w:eastAsiaTheme="minorEastAsia"/>
        </w:rPr>
      </w:pPr>
    </w:p>
    <w:p w14:paraId="3B76883C" w14:textId="77777777" w:rsidR="00DB363A" w:rsidRDefault="00B92BA0" w:rsidP="00F5632F">
      <w:pPr>
        <w:rPr>
          <w:rFonts w:eastAsiaTheme="minorEastAsia"/>
        </w:rPr>
      </w:pPr>
      <w:r>
        <w:rPr>
          <w:rFonts w:eastAsiaTheme="minorEastAsia"/>
        </w:rPr>
        <w:t xml:space="preserve">The token embedding </w:t>
      </w:r>
      <w:r w:rsidRPr="008665C9">
        <w:rPr>
          <w:rFonts w:ascii="Consolas" w:eastAsiaTheme="minorEastAsia" w:hAnsi="Consolas" w:cs="Consolas"/>
        </w:rPr>
        <w:t>E</w:t>
      </w:r>
      <w:r>
        <w:rPr>
          <w:rFonts w:eastAsiaTheme="minorEastAsia"/>
        </w:rPr>
        <w:t xml:space="preserve"> learns both the input placement </w:t>
      </w:r>
      <w:r w:rsidRPr="008665C9">
        <w:rPr>
          <w:rFonts w:ascii="Consolas" w:eastAsiaTheme="minorEastAsia" w:hAnsi="Consolas" w:cs="Consolas"/>
          <w:sz w:val="17"/>
          <w:szCs w:val="17"/>
        </w:rPr>
        <w:t>h_0</w:t>
      </w:r>
      <w:r>
        <w:rPr>
          <w:rFonts w:eastAsiaTheme="minorEastAsia"/>
        </w:rPr>
        <w:t xml:space="preserve"> and the decoding of </w:t>
      </w:r>
      <w:r w:rsidRPr="008665C9">
        <w:rPr>
          <w:rFonts w:ascii="Consolas" w:eastAsiaTheme="minorEastAsia" w:hAnsi="Consolas" w:cs="Consolas"/>
          <w:sz w:val="17"/>
          <w:szCs w:val="17"/>
        </w:rPr>
        <w:t>h_L</w:t>
      </w:r>
      <w:r>
        <w:rPr>
          <w:rFonts w:eastAsiaTheme="minorEastAsia"/>
        </w:rPr>
        <w:t xml:space="preserve">. </w:t>
      </w:r>
    </w:p>
    <w:p w14:paraId="4D552BB4" w14:textId="77777777" w:rsidR="00F91513" w:rsidRDefault="00F91513" w:rsidP="00F5632F">
      <w:pPr>
        <w:rPr>
          <w:rFonts w:eastAsiaTheme="minorEastAsia"/>
        </w:rPr>
      </w:pPr>
    </w:p>
    <w:p w14:paraId="577A8449" w14:textId="77777777" w:rsidR="00455F66" w:rsidRDefault="00000000">
      <w:pPr>
        <w:pStyle w:val="Heading3"/>
        <w:spacing w:after="120"/>
      </w:pPr>
      <w:bookmarkStart w:id="68" w:name="_Toc240119416"/>
      <w:r>
        <w:rPr>
          <w:rFonts w:ascii="Calibri" w:hAnsi="Calibri"/>
          <w:sz w:val="19"/>
        </w:rPr>
        <w:t>What else carries gradients (everything in this list is trainable)</w:t>
      </w:r>
      <w:bookmarkEnd w:id="68"/>
    </w:p>
    <w:p w14:paraId="1231D3F1" w14:textId="77777777" w:rsidR="00455F66" w:rsidRDefault="00000000">
      <w:pPr>
        <w:spacing w:after="120"/>
      </w:pPr>
      <w:r>
        <w:rPr>
          <w:rFonts w:ascii="Calibri" w:hAnsi="Calibri"/>
        </w:rPr>
        <w:t xml:space="preserve">1. Token embedding </w:t>
      </w:r>
      <m:oMath>
        <m:box>
          <m:boxPr>
            <m:ctrlPr>
              <w:rPr>
                <w:rFonts w:ascii="Cambria Math" w:hAnsi="Cambria Math"/>
              </w:rPr>
            </m:ctrlPr>
          </m:boxPr>
          <m:e>
            <m:r>
              <w:rPr>
                <w:rFonts w:ascii="Cambria Math" w:hAnsi="Cambria Math"/>
              </w:rPr>
              <m:t>E</m:t>
            </m:r>
          </m:e>
        </m:box>
      </m:oMath>
      <w:r>
        <w:rPr>
          <w:rFonts w:ascii="Calibri" w:hAnsi="Calibri"/>
        </w:rPr>
        <w:t xml:space="preserve">: nn.Embedding(vocab, </w:t>
      </w:r>
      <m:oMath>
        <m:box>
          <m:boxPr>
            <m:ctrlPr>
              <w:rPr>
                <w:rFonts w:ascii="Cambria Math" w:hAnsi="Cambria Math"/>
              </w:rPr>
            </m:ctrlPr>
          </m:boxPr>
          <m:e>
            <m:r>
              <w:rPr>
                <w:rFonts w:ascii="Cambria Math" w:hAnsi="Cambria Math"/>
              </w:rPr>
              <m:t>d</m:t>
            </m:r>
          </m:e>
        </m:box>
      </m:oMath>
      <w:r>
        <w:rPr>
          <w:rFonts w:ascii="Calibri" w:hAnsi="Calibri"/>
        </w:rPr>
        <w:t xml:space="preserve">). The largest single block (~19 million parameters for vocabulary 50,257 and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rPr>
          <w:rFonts w:ascii="Calibri" w:hAnsi="Calibri"/>
        </w:rPr>
        <w:t xml:space="preserve">). It is tied to the output head via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r>
              <m:rPr>
                <m:sty m:val="p"/>
              </m:rPr>
              <w:rPr>
                <w:rFonts w:ascii="Cambria Math" w:hAnsi="Cambria Math"/>
              </w:rPr>
              <m:t>.</m:t>
            </m:r>
            <m:r>
              <w:rPr>
                <w:rFonts w:ascii="Cambria Math" w:hAnsi="Cambria Math"/>
              </w:rPr>
              <m:t>T</m:t>
            </m:r>
          </m:e>
        </m:box>
      </m:oMath>
      <w:r>
        <w:rPr>
          <w:rFonts w:ascii="Calibri" w:hAnsi="Calibri"/>
        </w:rPr>
        <w:t xml:space="preserve">. </w:t>
      </w:r>
      <m:oMath>
        <m:box>
          <m:boxPr>
            <m:ctrlPr>
              <w:rPr>
                <w:rFonts w:ascii="Cambria Math" w:hAnsi="Cambria Math"/>
              </w:rPr>
            </m:ctrlPr>
          </m:boxPr>
          <m:e>
            <m:r>
              <w:rPr>
                <w:rFonts w:ascii="Cambria Math" w:hAnsi="Cambria Math"/>
              </w:rPr>
              <m:t>E</m:t>
            </m:r>
          </m:e>
        </m:box>
      </m:oMath>
      <w:r>
        <w:rPr>
          <w:rFonts w:ascii="Calibri" w:hAnsi="Calibri"/>
        </w:rPr>
        <w:t xml:space="preserve"> learns both the input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and the decoding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1C9C7BDA" w14:textId="77777777" w:rsidR="00455F66" w:rsidRDefault="00000000">
      <w:pPr>
        <w:spacing w:after="120"/>
      </w:pPr>
      <w:r>
        <w:rPr>
          <w:rFonts w:ascii="Calibri" w:hAnsi="Calibri"/>
        </w:rPr>
        <w:t xml:space="preserve">2.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nn.Parameter(max_len, </w:t>
      </w:r>
      <m:oMath>
        <m:box>
          <m:boxPr>
            <m:ctrlPr>
              <w:rPr>
                <w:rFonts w:ascii="Cambria Math" w:hAnsi="Cambria Math"/>
              </w:rPr>
            </m:ctrlPr>
          </m:boxPr>
          <m:e>
            <m:r>
              <w:rPr>
                <w:rFonts w:ascii="Cambria Math" w:hAnsi="Cambria Math"/>
              </w:rPr>
              <m:t>d</m:t>
            </m:r>
          </m:e>
        </m:box>
      </m:oMath>
      <w:r>
        <w:rPr>
          <w:rFonts w:ascii="Calibri" w:hAnsi="Calibri"/>
        </w:rPr>
        <w:t>).</w:t>
      </w:r>
    </w:p>
    <w:p w14:paraId="3A480F9F" w14:textId="77777777" w:rsidR="00455F66" w:rsidRDefault="00000000">
      <w:pPr>
        <w:spacing w:after="120"/>
      </w:pPr>
      <w:r>
        <w:rPr>
          <w:rFonts w:ascii="Calibri" w:hAnsi="Calibri"/>
        </w:rPr>
        <w:t xml:space="preserve">3. The </w:t>
      </w:r>
      <m:oMath>
        <m:box>
          <m:boxPr>
            <m:ctrlPr>
              <w:rPr>
                <w:rFonts w:ascii="Cambria Math" w:hAnsi="Cambria Math"/>
              </w:rPr>
            </m:ctrlPr>
          </m:boxPr>
          <m:e>
            <m:r>
              <w:rPr>
                <w:rFonts w:ascii="Cambria Math" w:hAnsi="Cambria Math"/>
              </w:rPr>
              <m:t>ξ</m:t>
            </m:r>
          </m:e>
        </m:box>
      </m:oMath>
      <w:r>
        <w:rPr>
          <w:rFonts w:ascii="Calibri" w:hAnsi="Calibri"/>
        </w:rPr>
        <w:t xml:space="preserve"> module (</w:t>
      </w:r>
      <w:r w:rsidRPr="009A0FD8">
        <w:rPr>
          <w:rFonts w:ascii="Consolas" w:hAnsi="Consolas" w:cs="Consolas"/>
          <w:sz w:val="17"/>
          <w:szCs w:val="17"/>
        </w:rPr>
        <w:t>MultiChannelXi</w:t>
      </w:r>
      <w:r>
        <w:rPr>
          <w:rFonts w:ascii="Calibri" w:hAnsi="Calibri"/>
        </w:rPr>
        <w:t xml:space="preserve">): the learnable raw_alpha parameter, which maps to the EMA decay coefficients seen in logs (e.g. </w:t>
      </w:r>
      <m:oMath>
        <m:box>
          <m:boxPr>
            <m:ctrlPr>
              <w:rPr>
                <w:rFonts w:ascii="Cambria Math" w:hAnsi="Cambria Math"/>
              </w:rPr>
            </m:ctrlPr>
          </m:boxPr>
          <m:e>
            <m:r>
              <w:rPr>
                <w:rFonts w:ascii="Cambria Math" w:hAnsi="Cambria Math"/>
              </w:rPr>
              <m:t>α</m:t>
            </m:r>
            <m:r>
              <m:rPr>
                <m:sty m:val="p"/>
              </m:rPr>
              <w:rPr>
                <w:rFonts w:ascii="Cambria Math" w:hAnsi="Cambria Math"/>
              </w:rPr>
              <m:t>=[0.145,</m:t>
            </m:r>
            <m:r>
              <w:rPr>
                <w:rFonts w:ascii="Cambria Math" w:hAnsi="Cambria Math"/>
              </w:rPr>
              <m:t>…</m:t>
            </m:r>
            <m:r>
              <m:rPr>
                <m:sty m:val="p"/>
              </m:rPr>
              <w:rPr>
                <w:rFonts w:ascii="Cambria Math" w:hAnsi="Cambria Math"/>
              </w:rPr>
              <m:t>,0.989]</m:t>
            </m:r>
          </m:e>
        </m:box>
      </m:oMath>
      <w:r>
        <w:rPr>
          <w:rFonts w:ascii="Calibri" w:hAnsi="Calibri"/>
        </w:rPr>
        <w:t>). These coefficients learn the context timescales that condition the wells.</w:t>
      </w:r>
    </w:p>
    <w:p w14:paraId="798C0DCA" w14:textId="77777777" w:rsidR="00455F66" w:rsidRDefault="00000000">
      <w:pPr>
        <w:spacing w:after="120"/>
      </w:pPr>
      <w:r>
        <w:rPr>
          <w:rFonts w:ascii="Calibri" w:hAnsi="Calibri"/>
        </w:rPr>
        <w:t xml:space="preserve">4.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(Gaussian wells): mu_proj, a_proj, and w_proj — the energy landscape.</w:t>
      </w:r>
    </w:p>
    <w:p w14:paraId="0CFA0615" w14:textId="77777777" w:rsidR="00455F66" w:rsidRDefault="00000000">
      <w:pPr>
        <w:spacing w:after="120"/>
      </w:pPr>
      <w:r>
        <w:rPr>
          <w:rFonts w:ascii="Calibri" w:hAnsi="Calibri"/>
        </w:rPr>
        <w:t xml:space="preserve">5.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(pairwise PARF interaction): the two-body force. MLP / structural kernels and routing projections such as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m:rPr>
                    <m:scr m:val="script"/>
                  </m:rPr>
                  <w:rPr>
                    <w:rFonts w:ascii="Cambria Math" w:hAnsi="Cambria Math"/>
                  </w:rPr>
                  <m:t>l</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θ</m:t>
                </m:r>
              </m:sub>
            </m:sSub>
          </m:e>
        </m:box>
      </m:oMath>
      <w:r>
        <w:rPr>
          <w:rFonts w:ascii="Calibri" w:hAnsi="Calibri"/>
        </w:rPr>
        <w:t xml:space="preserve">, and theta_w_q/s/d. A substantial block; architecturally the SARF/PARF-style force, distinct from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w:t>
      </w:r>
    </w:p>
    <w:p w14:paraId="6EC8054E" w14:textId="77777777" w:rsidR="00455F66" w:rsidRDefault="00000000">
      <w:pPr>
        <w:spacing w:after="120"/>
      </w:pPr>
      <w:r>
        <w:rPr>
          <w:rFonts w:ascii="Calibri" w:hAnsi="Calibri"/>
        </w:rPr>
        <w:t>6. Fock register machinery (v2.1): register_embed (</w:t>
      </w:r>
      <m:oMath>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d</m:t>
            </m:r>
          </m:e>
        </m:box>
      </m:oMath>
      <w:r>
        <w:rPr>
          <w:rFonts w:ascii="Calibri" w:hAnsi="Calibri"/>
        </w:rPr>
        <w:t xml:space="preserve"> learned register initialisation); creation and destruction gates; per-register query, key, and value projections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e>
        </m:box>
      </m:oMath>
      <w:r>
        <w:rPr>
          <w:rFonts w:ascii="Calibri" w:hAnsi="Calibri"/>
        </w:rPr>
        <w:t xml:space="preserve">; per-register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log</m:t>
                </m:r>
              </m:fName>
              <m:e>
                <m:r>
                  <w:rPr>
                    <w:rFonts w:ascii="Cambria Math" w:hAnsi="Cambria Math"/>
                  </w:rPr>
                  <m:t>τ</m:t>
                </m:r>
              </m:e>
            </m:func>
          </m:e>
        </m:box>
      </m:oMath>
      <w:r>
        <w:rPr>
          <w:rFonts w:ascii="Calibri" w:hAnsi="Calibri"/>
        </w:rPr>
        <w:t xml:space="preserve">; the reverse channel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Q</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K</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e>
        </m:box>
      </m:oMath>
      <w:r>
        <w:rPr>
          <w:rFonts w:ascii="Calibri" w:hAnsi="Calibri"/>
        </w:rPr>
        <w:t xml:space="preserve"> and reverse_channel_scale.</w:t>
      </w:r>
    </w:p>
    <w:p w14:paraId="0A806B96" w14:textId="77777777" w:rsidR="00455F66" w:rsidRDefault="00000000">
      <w:pPr>
        <w:spacing w:after="120"/>
      </w:pPr>
      <w:r>
        <w:rPr>
          <w:rFonts w:ascii="Calibri" w:hAnsi="Calibri"/>
        </w:rPr>
        <w:t xml:space="preserve">7. Dynamics scalars: raw_m_bias and raw_gamma (learnable when learn_mgamma is enabled); </w:t>
      </w:r>
      <w:r w:rsidRPr="00210ABE">
        <w:rPr>
          <w:rFonts w:ascii="Consolas" w:hAnsi="Consolas" w:cs="Consolas"/>
          <w:sz w:val="17"/>
          <w:szCs w:val="17"/>
        </w:rPr>
        <w:t>raw_logfreq_alpha</w:t>
      </w:r>
      <w:r>
        <w:rPr>
          <w:rFonts w:ascii="Calibri" w:hAnsi="Calibri"/>
        </w:rPr>
        <w:t xml:space="preserve"> (surprisal-mass scale); raw_v_phi_scale. (In the phase-5 log, </w:t>
      </w:r>
      <m:oMath>
        <m:box>
          <m:boxPr>
            <m:ctrlPr>
              <w:rPr>
                <w:rFonts w:ascii="Cambria Math" w:hAnsi="Cambria Math"/>
              </w:rPr>
            </m:ctrlPr>
          </m:boxPr>
          <m:e>
            <m:r>
              <w:rPr>
                <w:rFonts w:ascii="Cambria Math" w:hAnsi="Cambria Math"/>
              </w:rPr>
              <m:t>γ</m:t>
            </m:r>
            <m:r>
              <m:rPr>
                <m:sty m:val="p"/>
              </m:rPr>
              <w:rPr>
                <w:rFonts w:ascii="Cambria Math" w:hAnsi="Cambria Math"/>
              </w:rPr>
              <m:t>=0.300</m:t>
            </m:r>
          </m:e>
        </m:box>
      </m:oMath>
      <w:r>
        <w:rPr>
          <w:rFonts w:ascii="Calibri" w:hAnsi="Calibri"/>
        </w:rPr>
        <w:t xml:space="preserve"> is constant, so </w:t>
      </w:r>
      <m:oMath>
        <m:box>
          <m:boxPr>
            <m:ctrlPr>
              <w:rPr>
                <w:rFonts w:ascii="Cambria Math" w:hAnsi="Cambria Math"/>
              </w:rPr>
            </m:ctrlPr>
          </m:boxPr>
          <m:e>
            <m:r>
              <w:rPr>
                <w:rFonts w:ascii="Cambria Math" w:hAnsi="Cambria Math"/>
              </w:rPr>
              <m:t>γ</m:t>
            </m:r>
          </m:e>
        </m:box>
      </m:oMath>
      <w:r>
        <w:rPr>
          <w:rFonts w:ascii="Calibri" w:hAnsi="Calibri"/>
        </w:rPr>
        <w:t xml:space="preserve"> appears fixed for that specific run.)</w:t>
      </w:r>
    </w:p>
    <w:p w14:paraId="7BAC22D8" w14:textId="77777777" w:rsidR="00455F66" w:rsidRDefault="00000000">
      <w:pPr>
        <w:spacing w:after="120"/>
      </w:pPr>
      <w:r>
        <w:rPr>
          <w:rFonts w:ascii="Calibri" w:hAnsi="Calibri"/>
        </w:rPr>
        <w:t xml:space="preserve">8. </w:t>
      </w:r>
      <w:r w:rsidRPr="00210ABE">
        <w:rPr>
          <w:rFonts w:ascii="Consolas" w:hAnsi="Consolas" w:cs="Consolas"/>
          <w:sz w:val="17"/>
          <w:szCs w:val="17"/>
        </w:rPr>
        <w:t>LayerNorm</w:t>
      </w:r>
      <w:r>
        <w:rPr>
          <w:rFonts w:ascii="Calibri" w:hAnsi="Calibri"/>
        </w:rPr>
        <w:t xml:space="preserve"> affine parameters — specifically those for </w:t>
      </w:r>
      <w:r w:rsidRPr="00210ABE">
        <w:rPr>
          <w:rFonts w:ascii="Consolas" w:hAnsi="Consolas" w:cs="Consolas"/>
          <w:sz w:val="17"/>
          <w:szCs w:val="17"/>
        </w:rPr>
        <w:t>ln_after_step</w:t>
      </w:r>
      <w:r>
        <w:rPr>
          <w:rFonts w:ascii="Calibri" w:hAnsi="Calibri"/>
        </w:rPr>
        <w:t>.</w:t>
      </w:r>
    </w:p>
    <w:p w14:paraId="15C1B201" w14:textId="77777777" w:rsidR="00F91513" w:rsidRDefault="00F91513" w:rsidP="00F5632F">
      <w:pPr>
        <w:rPr>
          <w:rFonts w:eastAsiaTheme="minorEastAsia"/>
        </w:rPr>
      </w:pPr>
    </w:p>
    <w:p w14:paraId="42D69BD1" w14:textId="77777777" w:rsidR="00F91513" w:rsidRDefault="00F91513" w:rsidP="00F5632F">
      <w:pPr>
        <w:rPr>
          <w:rFonts w:eastAsiaTheme="minorEastAsia"/>
        </w:rPr>
      </w:pPr>
    </w:p>
    <w:p w14:paraId="3E247765" w14:textId="77777777" w:rsidR="00B92BA0" w:rsidRDefault="00B92BA0" w:rsidP="00F5632F">
      <w:pPr>
        <w:rPr>
          <w:rFonts w:eastAsiaTheme="minorEastAsia"/>
        </w:rPr>
      </w:pPr>
      <w:r>
        <w:rPr>
          <w:rFonts w:eastAsiaTheme="minorEastAsia"/>
        </w:rPr>
        <w:t xml:space="preserve">How exactly the token embedding learns </w:t>
      </w:r>
      <w:r w:rsidR="00A07B26">
        <w:rPr>
          <w:rFonts w:eastAsiaTheme="minorEastAsia"/>
        </w:rPr>
        <w:t>those?</w:t>
      </w:r>
    </w:p>
    <w:p w14:paraId="180528B3" w14:textId="77777777" w:rsidR="00A07B26" w:rsidRDefault="00A07B26" w:rsidP="00F5632F">
      <w:pPr>
        <w:rPr>
          <w:rFonts w:eastAsiaTheme="minorEastAsia"/>
        </w:rPr>
      </w:pPr>
    </w:p>
    <w:p w14:paraId="18F707B0" w14:textId="77777777" w:rsidR="00A07B26" w:rsidRDefault="00F35174" w:rsidP="00F5632F">
      <w:pPr>
        <w:rPr>
          <w:rFonts w:eastAsiaTheme="minorEastAsia"/>
        </w:rPr>
      </w:pPr>
      <w:r>
        <w:rPr>
          <w:rFonts w:eastAsiaTheme="minorEastAsia"/>
        </w:rPr>
        <w:t xml:space="preserve">When the LM head is </w:t>
      </w:r>
      <w:r w:rsidRPr="00F35174">
        <w:rPr>
          <w:rFonts w:eastAsiaTheme="minorEastAsia"/>
          <w:i/>
          <w:iCs/>
        </w:rPr>
        <w:t>tied</w:t>
      </w:r>
      <w:r>
        <w:rPr>
          <w:rFonts w:eastAsiaTheme="minorEastAsia"/>
        </w:rPr>
        <w:t xml:space="preserve">, a single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V×d</m:t>
            </m:r>
          </m:sup>
        </m:sSup>
      </m:oMath>
      <w:r>
        <w:rPr>
          <w:rFonts w:eastAsiaTheme="minorEastAsia"/>
        </w:rPr>
        <w:t xml:space="preserve"> participates in the computation graph at two distinct points and receives gradients from both. </w:t>
      </w:r>
    </w:p>
    <w:p w14:paraId="57EEA84D" w14:textId="77777777" w:rsidR="00313271" w:rsidRDefault="00313271" w:rsidP="00F5632F">
      <w:pPr>
        <w:rPr>
          <w:rFonts w:eastAsiaTheme="minorEastAsia"/>
        </w:rPr>
      </w:pPr>
    </w:p>
    <w:p w14:paraId="79BB891B" w14:textId="77777777" w:rsidR="00313271" w:rsidRDefault="00313271" w:rsidP="00F5632F">
      <w:pPr>
        <w:rPr>
          <w:rFonts w:eastAsiaTheme="minorEastAsia"/>
        </w:rPr>
      </w:pPr>
      <w:r>
        <w:rPr>
          <w:rFonts w:eastAsiaTheme="minorEastAsia"/>
        </w:rPr>
        <w:t>Forward pass – two uses of the same parameter:</w:t>
      </w:r>
    </w:p>
    <w:p w14:paraId="2A87C9AB" w14:textId="77777777" w:rsidR="00313271" w:rsidRDefault="00313271" w:rsidP="00F5632F">
      <w:pPr>
        <w:rPr>
          <w:rFonts w:eastAsiaTheme="minorEastAsia"/>
        </w:rPr>
      </w:pPr>
    </w:p>
    <w:p w14:paraId="36507E83" w14:textId="77777777" w:rsidR="00863584" w:rsidRDefault="00863584" w:rsidP="00863584">
      <w:pPr>
        <w:rPr>
          <w:rFonts w:eastAsiaTheme="minorEastAsia"/>
        </w:rPr>
      </w:pPr>
      <w:r>
        <w:rPr>
          <w:rFonts w:eastAsiaTheme="minorEastAsia"/>
        </w:rPr>
        <w:t xml:space="preserve"> - </w:t>
      </w:r>
      <w:r w:rsidRPr="00863584">
        <w:rPr>
          <w:rFonts w:eastAsiaTheme="minorEastAsia"/>
        </w:rPr>
        <w:t xml:space="preserve">Input path: </w:t>
      </w:r>
      <w:r w:rsidRPr="00863584">
        <w:rPr>
          <w:rFonts w:ascii="Consolas" w:eastAsiaTheme="minorEastAsia" w:hAnsi="Consolas" w:cs="Consolas"/>
          <w:sz w:val="17"/>
          <w:szCs w:val="17"/>
        </w:rPr>
        <w:t>h_0[t] = E[x_t] + P[t]</w:t>
      </w:r>
      <w:r>
        <w:rPr>
          <w:rFonts w:eastAsiaTheme="minorEastAsia"/>
        </w:rPr>
        <w:t xml:space="preserve">       (row lookup, no matmul)</w:t>
      </w:r>
    </w:p>
    <w:p w14:paraId="491235D1" w14:textId="77777777" w:rsidR="00863584" w:rsidRDefault="008665C9" w:rsidP="00863584">
      <w:pPr>
        <w:rPr>
          <w:rFonts w:eastAsiaTheme="minorEastAsia"/>
        </w:rPr>
      </w:pPr>
      <w:r>
        <w:rPr>
          <w:rFonts w:eastAsiaTheme="minorEastAsia"/>
        </w:rPr>
        <w:t xml:space="preserve"> </w:t>
      </w:r>
      <w:r w:rsidR="005A3A94">
        <w:rPr>
          <w:rFonts w:eastAsiaTheme="minorEastAsia"/>
        </w:rPr>
        <w:t>-</w:t>
      </w:r>
      <w:r>
        <w:rPr>
          <w:rFonts w:eastAsiaTheme="minorEastAsia"/>
        </w:rPr>
        <w:t xml:space="preserve"> Output path: </w:t>
      </w:r>
      <w:r w:rsidRPr="005A3A94">
        <w:rPr>
          <w:rFonts w:ascii="Consolas" w:eastAsiaTheme="minorEastAsia" w:hAnsi="Consolas" w:cs="Consolas"/>
          <w:sz w:val="17"/>
          <w:szCs w:val="17"/>
        </w:rPr>
        <w:t>logits = h_L @ E.T</w:t>
      </w:r>
      <w:r>
        <w:rPr>
          <w:rFonts w:eastAsiaTheme="minorEastAsia"/>
        </w:rPr>
        <w:t xml:space="preserve">            </w:t>
      </w:r>
      <w:r w:rsidR="005A3A94">
        <w:rPr>
          <w:rFonts w:eastAsiaTheme="minorEastAsia"/>
        </w:rPr>
        <w:t xml:space="preserve"> </w:t>
      </w:r>
      <w:r>
        <w:rPr>
          <w:rFonts w:eastAsiaTheme="minorEastAsia"/>
        </w:rPr>
        <w:t xml:space="preserve">(full matmul against all </w:t>
      </w:r>
      <m:oMath>
        <m:r>
          <w:rPr>
            <w:rFonts w:ascii="Cambria Math" w:eastAsiaTheme="minorEastAsia" w:hAnsi="Cambria Math"/>
          </w:rPr>
          <m:t>V</m:t>
        </m:r>
      </m:oMath>
      <w:r>
        <w:rPr>
          <w:rFonts w:eastAsiaTheme="minorEastAsia"/>
        </w:rPr>
        <w:t xml:space="preserve"> rows)</w:t>
      </w:r>
    </w:p>
    <w:p w14:paraId="5AA75EAD" w14:textId="77777777" w:rsidR="00506703" w:rsidRDefault="00506703" w:rsidP="00863584">
      <w:pPr>
        <w:rPr>
          <w:rFonts w:eastAsiaTheme="minorEastAsia"/>
        </w:rPr>
      </w:pPr>
    </w:p>
    <w:p w14:paraId="61E80530" w14:textId="77777777" w:rsidR="00506703" w:rsidRDefault="00506703" w:rsidP="00863584">
      <w:pPr>
        <w:rPr>
          <w:rFonts w:eastAsiaTheme="minorEastAsia"/>
        </w:rPr>
      </w:pPr>
      <w:r>
        <w:rPr>
          <w:rFonts w:eastAsiaTheme="minorEastAsia"/>
        </w:rPr>
        <w:t>Backward pass – two gradient contributions that get summed:</w:t>
      </w:r>
    </w:p>
    <w:p w14:paraId="1D1BE352" w14:textId="77777777" w:rsidR="00506703" w:rsidRDefault="00506703" w:rsidP="00863584">
      <w:pPr>
        <w:rPr>
          <w:rFonts w:eastAsiaTheme="minorEastAsia"/>
        </w:rPr>
      </w:pPr>
    </w:p>
    <w:p w14:paraId="51EC954F" w14:textId="77777777" w:rsidR="00506703" w:rsidRDefault="00506703" w:rsidP="00863584">
      <w:pPr>
        <w:rPr>
          <w:rFonts w:eastAsiaTheme="minorEastAsia"/>
        </w:rPr>
      </w:pPr>
      <w:r>
        <w:rPr>
          <w:rFonts w:eastAsiaTheme="minorEastAsia"/>
        </w:rPr>
        <w:t>PyTorch’s autograd accumulates gradients</w:t>
      </w:r>
      <w:r w:rsidR="00360101">
        <w:rPr>
          <w:rFonts w:eastAsiaTheme="minorEastAsia"/>
        </w:rPr>
        <w:t xml:space="preserve">. Because </w:t>
      </w:r>
      <w:r w:rsidR="00360101" w:rsidRPr="00360101">
        <w:rPr>
          <w:rFonts w:ascii="Consolas" w:eastAsiaTheme="minorEastAsia" w:hAnsi="Consolas" w:cs="Consolas"/>
          <w:sz w:val="17"/>
          <w:szCs w:val="17"/>
        </w:rPr>
        <w:t>E.weight</w:t>
      </w:r>
      <w:r w:rsidR="00360101">
        <w:rPr>
          <w:rFonts w:eastAsiaTheme="minorEastAsia"/>
        </w:rPr>
        <w:t xml:space="preserve"> appears in t</w:t>
      </w:r>
      <w:r w:rsidR="00360101" w:rsidRPr="00360101">
        <w:rPr>
          <w:rFonts w:eastAsiaTheme="minorEastAsia"/>
        </w:rPr>
        <w:t xml:space="preserve">wo </w:t>
      </w:r>
      <w:r w:rsidR="00360101">
        <w:rPr>
          <w:rFonts w:eastAsiaTheme="minorEastAsia"/>
        </w:rPr>
        <w:t xml:space="preserve">places in the computation graph, its </w:t>
      </w:r>
      <w:r w:rsidR="00360101" w:rsidRPr="00360101">
        <w:rPr>
          <w:rFonts w:ascii="Consolas" w:eastAsiaTheme="minorEastAsia" w:hAnsi="Consolas" w:cs="Consolas"/>
          <w:sz w:val="17"/>
          <w:szCs w:val="17"/>
        </w:rPr>
        <w:t>.grad</w:t>
      </w:r>
      <w:r w:rsidR="00360101">
        <w:rPr>
          <w:rFonts w:eastAsiaTheme="minorEastAsia"/>
        </w:rPr>
        <w:t xml:space="preserve"> after </w:t>
      </w:r>
      <w:r w:rsidR="00360101" w:rsidRPr="00360101">
        <w:rPr>
          <w:rFonts w:ascii="Consolas" w:eastAsiaTheme="minorEastAsia" w:hAnsi="Consolas" w:cs="Consolas"/>
          <w:sz w:val="17"/>
          <w:szCs w:val="17"/>
        </w:rPr>
        <w:t>loss.backward()</w:t>
      </w:r>
      <w:r w:rsidR="00360101">
        <w:rPr>
          <w:rFonts w:eastAsiaTheme="minorEastAsia"/>
        </w:rPr>
        <w:t xml:space="preserve"> is the sum of two terms :</w:t>
      </w:r>
    </w:p>
    <w:p w14:paraId="7C28CD57" w14:textId="77777777" w:rsidR="00360101" w:rsidRDefault="00360101" w:rsidP="00863584">
      <w:pPr>
        <w:rPr>
          <w:rFonts w:eastAsiaTheme="minorEastAsia"/>
        </w:rPr>
      </w:pPr>
    </w:p>
    <w:p w14:paraId="445A740C" w14:textId="77777777" w:rsidR="00360101" w:rsidRPr="00360101" w:rsidRDefault="00360101" w:rsidP="00360101">
      <w:pPr>
        <w:rPr>
          <w:rFonts w:eastAsiaTheme="minorEastAsia"/>
        </w:rPr>
      </w:pPr>
      <w:r>
        <w:rPr>
          <w:rFonts w:eastAsiaTheme="minorEastAsia"/>
        </w:rPr>
        <w:t xml:space="preserve"> 1 ) </w:t>
      </w:r>
      <w:r w:rsidRPr="00360101">
        <w:rPr>
          <w:rFonts w:eastAsiaTheme="minorEastAsia"/>
        </w:rPr>
        <w:t xml:space="preserve">from the </w:t>
      </w:r>
      <w:r w:rsidRPr="00360101">
        <w:rPr>
          <w:rFonts w:eastAsiaTheme="minorEastAsia"/>
          <w:i/>
          <w:iCs/>
        </w:rPr>
        <w:t>output path</w:t>
      </w:r>
      <w:r w:rsidRPr="00360101">
        <w:rPr>
          <w:rFonts w:eastAsiaTheme="minorEastAsia"/>
        </w:rPr>
        <w:t xml:space="preserve"> (decoding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Pr="00360101">
        <w:rPr>
          <w:rFonts w:eastAsiaTheme="minorEastAsia"/>
        </w:rPr>
        <w:t>)</w:t>
      </w:r>
    </w:p>
    <w:p w14:paraId="5D22CA7F" w14:textId="77777777" w:rsidR="00360101" w:rsidRDefault="00360101" w:rsidP="00360101">
      <w:pPr>
        <w:rPr>
          <w:rFonts w:eastAsiaTheme="minorEastAsia"/>
        </w:rPr>
      </w:pPr>
    </w:p>
    <w:p w14:paraId="1ABF57AF" w14:textId="77777777" w:rsidR="00360101" w:rsidRDefault="00000000" w:rsidP="00360101">
      <w:pPr>
        <w:rPr>
          <w:rFonts w:eastAsiaTheme="minorEastAsia"/>
        </w:rPr>
      </w:pPr>
      <m:oMathPara>
        <m:oMath>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output</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nor/>
                                </m:rPr>
                                <w:rPr>
                                  <w:rFonts w:ascii="Cambria Math" w:hAnsi="Cambria Math"/>
                                </w:rPr>
                                <m:t>logit</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e>
              </m:nary>
              <m:r>
                <m:rPr>
                  <m:nor/>
                </m:rPr>
                <w:rPr>
                  <w:rFonts w:ascii="Cambria Math" w:hAnsi="Cambria Math"/>
                </w:rPr>
                <m:t>(out.1)</m:t>
              </m:r>
            </m:e>
          </m:box>
        </m:oMath>
      </m:oMathPara>
    </w:p>
    <w:p w14:paraId="39939D7B" w14:textId="77777777" w:rsidR="003B3688" w:rsidRDefault="003B3688" w:rsidP="00360101">
      <w:pPr>
        <w:rPr>
          <w:rFonts w:eastAsiaTheme="minorEastAsia"/>
        </w:rPr>
      </w:pPr>
    </w:p>
    <w:p w14:paraId="6F0D4768" w14:textId="77777777" w:rsidR="003B3688" w:rsidRDefault="00FF2313" w:rsidP="00360101">
      <w:pPr>
        <w:rPr>
          <w:rFonts w:eastAsiaTheme="minorEastAsia"/>
        </w:rPr>
      </w:pPr>
      <w:r>
        <w:rPr>
          <w:rFonts w:eastAsiaTheme="minorEastAsia"/>
        </w:rPr>
        <w:t xml:space="preserve">That pushes each row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Pr>
          <w:rFonts w:eastAsiaTheme="minorEastAsia"/>
        </w:rPr>
        <w:t xml:space="preserve"> </w:t>
      </w:r>
      <w:r w:rsidR="00A5148E">
        <w:rPr>
          <w:rFonts w:eastAsiaTheme="minorEastAsia"/>
        </w:rPr>
        <w:t xml:space="preserve">of the embedding matrix </w:t>
      </w:r>
      <m:oMath>
        <m:r>
          <w:rPr>
            <w:rFonts w:ascii="Cambria Math" w:eastAsiaTheme="minorEastAsia" w:hAnsi="Cambria Math"/>
          </w:rPr>
          <m:t>E</m:t>
        </m:r>
      </m:oMath>
      <w:r w:rsidR="00A5148E">
        <w:rPr>
          <w:rFonts w:eastAsiaTheme="minorEastAsia"/>
        </w:rPr>
        <w:t xml:space="preserve"> to be a good linear classifier </w:t>
      </w:r>
      <w:r w:rsidR="00C2587E">
        <w:rPr>
          <w:rFonts w:eastAsiaTheme="minorEastAsia"/>
        </w:rPr>
        <w:t xml:space="preserve">of the final hidden state – in other words row </w:t>
      </w:r>
      <m:oMath>
        <m:r>
          <w:rPr>
            <w:rFonts w:ascii="Cambria Math" w:eastAsiaTheme="minorEastAsia" w:hAnsi="Cambria Math"/>
          </w:rPr>
          <m:t>v</m:t>
        </m:r>
      </m:oMath>
      <w:r w:rsidR="00C2587E">
        <w:rPr>
          <w:rFonts w:eastAsiaTheme="minorEastAsia"/>
        </w:rPr>
        <w:t xml:space="preserve"> should have high dot product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C2587E">
        <w:rPr>
          <w:rFonts w:eastAsiaTheme="minorEastAsia"/>
        </w:rPr>
        <w:t xml:space="preserve"> (aka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C2587E">
        <w:rPr>
          <w:rFonts w:eastAsiaTheme="minorEastAsia"/>
        </w:rPr>
        <w:t xml:space="preserve">) when </w:t>
      </w:r>
      <m:oMath>
        <m:r>
          <w:rPr>
            <w:rFonts w:ascii="Cambria Math" w:eastAsiaTheme="minorEastAsia" w:hAnsi="Cambria Math"/>
          </w:rPr>
          <m:t>v</m:t>
        </m:r>
      </m:oMath>
      <w:r w:rsidR="00C2587E">
        <w:rPr>
          <w:rFonts w:eastAsiaTheme="minorEastAsia"/>
        </w:rPr>
        <w:t xml:space="preserve"> is the correct next token. This gradient flows through the entire Verlet dynamics (all L layers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C2587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ϕ</m:t>
            </m:r>
          </m:sub>
        </m:sSub>
      </m:oMath>
      <w:r w:rsidR="00B77C0C">
        <w:rPr>
          <w:rFonts w:eastAsiaTheme="minorEastAsia"/>
        </w:rPr>
        <w:t xml:space="preserve"> before reaching </w:t>
      </w:r>
      <m:oMath>
        <m:r>
          <w:rPr>
            <w:rFonts w:ascii="Cambria Math" w:eastAsiaTheme="minorEastAsia" w:hAnsi="Cambria Math"/>
          </w:rPr>
          <m:t>E</m:t>
        </m:r>
      </m:oMath>
      <w:r w:rsidR="00F15FDA">
        <w:rPr>
          <w:rFonts w:eastAsiaTheme="minorEastAsia"/>
        </w:rPr>
        <w:t xml:space="preserve">), so it is the “deep” gradient. </w:t>
      </w:r>
    </w:p>
    <w:p w14:paraId="6B7944CF" w14:textId="77777777" w:rsidR="00680536" w:rsidRDefault="00680536" w:rsidP="00360101">
      <w:pPr>
        <w:rPr>
          <w:rFonts w:eastAsiaTheme="minorEastAsia"/>
        </w:rPr>
      </w:pPr>
    </w:p>
    <w:p w14:paraId="2651A5EC" w14:textId="77777777" w:rsidR="00C96E53" w:rsidRDefault="00C96E53" w:rsidP="00360101">
      <w:pPr>
        <w:rPr>
          <w:rFonts w:eastAsiaTheme="minorEastAsia"/>
        </w:rPr>
      </w:pPr>
    </w:p>
    <w:p w14:paraId="255717CB" w14:textId="77777777" w:rsidR="00455F66" w:rsidRDefault="00000000">
      <w:pPr>
        <w:spacing w:after="120"/>
      </w:pPr>
      <w:r>
        <w:rPr>
          <w:rFonts w:ascii="Calibri" w:hAnsi="Calibri"/>
        </w:rPr>
        <w:t xml:space="preserve">Clarification: </w:t>
      </w:r>
      <m:oMath>
        <m:box>
          <m:boxPr>
            <m:ctrlPr>
              <w:rPr>
                <w:rFonts w:ascii="Cambria Math" w:hAnsi="Cambria Math"/>
              </w:rPr>
            </m:ctrlPr>
          </m:boxPr>
          <m:e>
            <m:r>
              <w:rPr>
                <w:rFonts w:ascii="Cambria Math" w:hAnsi="Cambria Math"/>
              </w:rPr>
              <m:t>E</m:t>
            </m:r>
          </m:e>
        </m:box>
      </m:oMath>
      <w:r>
        <w:rPr>
          <w:rFonts w:ascii="Calibri" w:hAnsi="Calibri"/>
        </w:rPr>
        <w:t xml:space="preserve"> refers to the token embedding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the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is a separate component.</w:t>
      </w:r>
    </w:p>
    <w:p w14:paraId="19387E0C" w14:textId="77777777" w:rsidR="00455F66" w:rsidRDefault="00000000">
      <w:pPr>
        <w:spacing w:after="120"/>
      </w:pPr>
      <w:r>
        <w:rPr>
          <w:rFonts w:ascii="Calibri" w:hAnsi="Calibri"/>
        </w:rPr>
        <w:t xml:space="preserve">When the LM head is tied, the matrix </w:t>
      </w:r>
      <m:oMath>
        <m:box>
          <m:boxPr>
            <m:ctrlPr>
              <w:rPr>
                <w:rFonts w:ascii="Cambria Math" w:hAnsi="Cambria Math"/>
              </w:rPr>
            </m:ctrlPr>
          </m:boxPr>
          <m:e>
            <m:r>
              <w:rPr>
                <w:rFonts w:ascii="Cambria Math" w:hAnsi="Cambria Math"/>
              </w:rPr>
              <m:t>E</m:t>
            </m:r>
          </m:e>
        </m:box>
      </m:oMath>
      <w:r>
        <w:rPr>
          <w:rFonts w:ascii="Calibri" w:hAnsi="Calibri"/>
        </w:rPr>
        <w:t xml:space="preserve"> is used in two places:</w:t>
      </w:r>
    </w:p>
    <w:p w14:paraId="274847C9" w14:textId="77777777" w:rsidR="00455F66" w:rsidRDefault="00000000">
      <w:pPr>
        <w:spacing w:after="120"/>
      </w:pPr>
      <w:r>
        <w:rPr>
          <w:rFonts w:ascii="Calibri" w:hAnsi="Calibri"/>
        </w:rPr>
        <w:t xml:space="preserve">• Input path: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rPr>
          <w:rFonts w:ascii="Calibri" w:hAnsi="Calibri"/>
        </w:rPr>
        <w:t>. This is a simple row lookup, not a matrix multiplication.</w:t>
      </w:r>
    </w:p>
    <w:p w14:paraId="1AF6B10E" w14:textId="77777777" w:rsidR="00455F66" w:rsidRDefault="00000000">
      <w:pPr>
        <w:spacing w:after="120"/>
      </w:pPr>
      <w:r>
        <w:rPr>
          <w:rFonts w:ascii="Calibri" w:hAnsi="Calibri"/>
        </w:rPr>
        <w:t xml:space="preserve">• Output path: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T</m:t>
                </m:r>
              </m:sup>
            </m:sSup>
          </m:e>
        </m:box>
      </m:oMath>
      <w:r>
        <w:rPr>
          <w:rFonts w:ascii="Calibri" w:hAnsi="Calibri"/>
        </w:rPr>
        <w:t xml:space="preserve">. This is a full matrix multiplication of the final hidden state against all </w:t>
      </w:r>
      <m:oMath>
        <m:box>
          <m:boxPr>
            <m:ctrlPr>
              <w:rPr>
                <w:rFonts w:ascii="Cambria Math" w:hAnsi="Cambria Math"/>
              </w:rPr>
            </m:ctrlPr>
          </m:boxPr>
          <m:e>
            <m:r>
              <w:rPr>
                <w:rFonts w:ascii="Cambria Math" w:hAnsi="Cambria Math"/>
              </w:rPr>
              <m:t>V</m:t>
            </m:r>
          </m:e>
        </m:box>
      </m:oMath>
      <w:r>
        <w:rPr>
          <w:rFonts w:ascii="Calibri" w:hAnsi="Calibri"/>
        </w:rPr>
        <w:t xml:space="preserve"> rows of the embedding matrix.</w:t>
      </w:r>
    </w:p>
    <w:p w14:paraId="04F3210F" w14:textId="77777777" w:rsidR="00455F66" w:rsidRDefault="00000000">
      <w:pPr>
        <w:spacing w:after="120"/>
      </w:pPr>
      <w:r>
        <w:rPr>
          <w:rFonts w:ascii="Calibri" w:hAnsi="Calibri"/>
        </w:rPr>
        <w:t xml:space="preserve">Because </w:t>
      </w:r>
      <m:oMath>
        <m:box>
          <m:boxPr>
            <m:ctrlPr>
              <w:rPr>
                <w:rFonts w:ascii="Cambria Math" w:hAnsi="Cambria Math"/>
              </w:rPr>
            </m:ctrlPr>
          </m:boxPr>
          <m:e>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e>
        </m:box>
      </m:oMath>
      <w:r>
        <w:rPr>
          <w:rFonts w:ascii="Calibri" w:hAnsi="Calibri"/>
        </w:rPr>
        <w:t xml:space="preserve"> appears in two places, its total gradient after loss.backward() is the sum of two distinct contributions.</w:t>
      </w:r>
    </w:p>
    <w:p w14:paraId="7E47EE0C" w14:textId="77777777" w:rsidR="00455F66" w:rsidRDefault="00000000">
      <w:pPr>
        <w:spacing w:after="120"/>
      </w:pPr>
      <w:r>
        <w:rPr>
          <w:rFonts w:ascii="Calibri" w:hAnsi="Calibri"/>
        </w:rPr>
        <w:t xml:space="preserve">Contribution 1 — from the output path (decoding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28844C01"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t</m:t>
                          </m:r>
                        </m:e>
                      </m:box>
                    </m:sub>
                  </m:sSub>
                </m:e>
              </m:nary>
            </m:e>
          </m:box>
        </m:oMath>
      </m:oMathPara>
    </w:p>
    <w:p w14:paraId="76648FC3" w14:textId="77777777" w:rsidR="00455F66" w:rsidRDefault="00000000">
      <w:pPr>
        <w:spacing w:after="120"/>
      </w:pPr>
      <w:r>
        <w:rPr>
          <w:rFonts w:ascii="Calibri" w:hAnsi="Calibri"/>
        </w:rPr>
        <w:t xml:space="preserve">This gradient pushes 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act as a good linear classifier for the final hidden state. Specifically, row </w:t>
      </w:r>
      <m:oMath>
        <m:box>
          <m:boxPr>
            <m:ctrlPr>
              <w:rPr>
                <w:rFonts w:ascii="Cambria Math" w:hAnsi="Cambria Math"/>
              </w:rPr>
            </m:ctrlPr>
          </m:boxPr>
          <m:e>
            <m:r>
              <w:rPr>
                <w:rFonts w:ascii="Cambria Math" w:hAnsi="Cambria Math"/>
              </w:rPr>
              <m:t>v</m:t>
            </m:r>
          </m:e>
        </m:box>
      </m:oMath>
      <w:r>
        <w:rPr>
          <w:rFonts w:ascii="Calibri" w:hAnsi="Calibri"/>
        </w:rPr>
        <w:t xml:space="preserve"> should have a high dot product with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token </w:t>
      </w:r>
      <m:oMath>
        <m:box>
          <m:boxPr>
            <m:ctrlPr>
              <w:rPr>
                <w:rFonts w:ascii="Cambria Math" w:hAnsi="Cambria Math"/>
              </w:rPr>
            </m:ctrlPr>
          </m:boxPr>
          <m:e>
            <m:r>
              <w:rPr>
                <w:rFonts w:ascii="Cambria Math" w:hAnsi="Cambria Math"/>
              </w:rPr>
              <m:t>v</m:t>
            </m:r>
          </m:e>
        </m:box>
      </m:oMath>
      <w:r>
        <w:rPr>
          <w:rFonts w:ascii="Calibri" w:hAnsi="Calibri"/>
        </w:rPr>
        <w:t xml:space="preserve"> is the correct next token. Because this gradient flows back through the entire Verlet dynamics (all </w:t>
      </w:r>
      <m:oMath>
        <m:box>
          <m:boxPr>
            <m:ctrlPr>
              <w:rPr>
                <w:rFonts w:ascii="Cambria Math" w:hAnsi="Cambria Math"/>
              </w:rPr>
            </m:ctrlPr>
          </m:boxPr>
          <m:e>
            <m:r>
              <w:rPr>
                <w:rFonts w:ascii="Cambria Math" w:hAnsi="Cambria Math"/>
              </w:rPr>
              <m:t>L</m:t>
            </m:r>
          </m:e>
        </m:box>
      </m:oMath>
      <w:r>
        <w:rPr>
          <w:rFonts w:ascii="Calibri" w:hAnsi="Calibri"/>
        </w:rPr>
        <w:t xml:space="preserve"> layers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it is a “deep” gradient.</w:t>
      </w:r>
    </w:p>
    <w:p w14:paraId="0AEC1E09" w14:textId="77777777" w:rsidR="00455F66" w:rsidRDefault="00000000">
      <w:pPr>
        <w:spacing w:after="120"/>
      </w:pPr>
      <w:r>
        <w:rPr>
          <w:rFonts w:ascii="Calibri" w:hAnsi="Calibri"/>
        </w:rPr>
        <w:t xml:space="preserve">Contribution 2 — from the input path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w:t>
      </w:r>
    </w:p>
    <w:p w14:paraId="1F48EBDB"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den>
                  </m:f>
                </m:e>
              </m:nary>
            </m:e>
          </m:box>
        </m:oMath>
      </m:oMathPara>
    </w:p>
    <w:p w14:paraId="4B8CE6F5" w14:textId="77777777" w:rsidR="00455F66" w:rsidRDefault="00000000">
      <w:pPr>
        <w:spacing w:after="120"/>
      </w:pPr>
      <w:r>
        <w:rPr>
          <w:rFonts w:ascii="Calibri" w:hAnsi="Calibri"/>
        </w:rPr>
        <w:t xml:space="preserve">This gradient pushes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position the initial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at a specific location in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from which the downstream dynamics (Verlet integration through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can most effectively evolve it toward the correct prediction. Like the output path, this gradient is also “deep” as it flows through all </w:t>
      </w:r>
      <m:oMath>
        <m:box>
          <m:boxPr>
            <m:ctrlPr>
              <w:rPr>
                <w:rFonts w:ascii="Cambria Math" w:hAnsi="Cambria Math"/>
              </w:rPr>
            </m:ctrlPr>
          </m:boxPr>
          <m:e>
            <m:r>
              <w:rPr>
                <w:rFonts w:ascii="Cambria Math" w:hAnsi="Cambria Math"/>
              </w:rPr>
              <m:t>L</m:t>
            </m:r>
          </m:e>
        </m:box>
      </m:oMath>
      <w:r>
        <w:rPr>
          <w:rFonts w:ascii="Calibri" w:hAnsi="Calibri"/>
        </w:rPr>
        <w:t xml:space="preserve"> layers via backpropagation through the integrator.</w:t>
      </w:r>
    </w:p>
    <w:p w14:paraId="778519E5" w14:textId="77777777" w:rsidR="000D639D" w:rsidRDefault="000D639D" w:rsidP="00360101">
      <w:pPr>
        <w:rPr>
          <w:rFonts w:eastAsiaTheme="minorEastAsia"/>
        </w:rPr>
      </w:pPr>
    </w:p>
    <w:p w14:paraId="483F5EAD" w14:textId="77777777" w:rsidR="00455F66" w:rsidRDefault="00000000">
      <w:pPr>
        <w:pStyle w:val="Heading3"/>
        <w:spacing w:after="120"/>
      </w:pPr>
      <w:bookmarkStart w:id="69" w:name="_Toc240119417"/>
      <w:r>
        <w:rPr>
          <w:rFonts w:ascii="Calibri" w:hAnsi="Calibri"/>
          <w:sz w:val="19"/>
        </w:rPr>
        <w:t>The tension</w:t>
      </w:r>
      <w:bookmarkEnd w:id="69"/>
    </w:p>
    <w:p w14:paraId="421FEFAF" w14:textId="77777777" w:rsidR="00455F66" w:rsidRDefault="00000000">
      <w:pPr>
        <w:spacing w:after="120"/>
      </w:pPr>
      <w:r>
        <w:rPr>
          <w:rFonts w:ascii="Calibri" w:hAnsi="Calibri"/>
        </w:rPr>
        <w:t xml:space="preserve">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simultaneously satisfy:</w:t>
      </w:r>
    </w:p>
    <w:p w14:paraId="5E3AE86F" w14:textId="77777777" w:rsidR="00455F66" w:rsidRDefault="00000000">
      <w:pPr>
        <w:spacing w:after="120"/>
      </w:pPr>
      <w:r>
        <w:rPr>
          <w:rFonts w:ascii="Calibri" w:hAnsi="Calibri"/>
        </w:rPr>
        <w:t xml:space="preserve">• As input direction: when token </w:t>
      </w:r>
      <m:oMath>
        <m:box>
          <m:boxPr>
            <m:ctrlPr>
              <w:rPr>
                <w:rFonts w:ascii="Cambria Math" w:hAnsi="Cambria Math"/>
              </w:rPr>
            </m:ctrlPr>
          </m:boxPr>
          <m:e>
            <m:r>
              <w:rPr>
                <w:rFonts w:ascii="Cambria Math" w:hAnsi="Cambria Math"/>
              </w:rPr>
              <m:t>v</m:t>
            </m:r>
          </m:e>
        </m:box>
      </m:oMath>
      <w:r>
        <w:rPr>
          <w:rFonts w:ascii="Calibri" w:hAnsi="Calibri"/>
        </w:rPr>
        <w:t xml:space="preserve"> appears at position </w:t>
      </w:r>
      <m:oMath>
        <m:box>
          <m:boxPr>
            <m:ctrlPr>
              <w:rPr>
                <w:rFonts w:ascii="Cambria Math" w:hAnsi="Cambria Math"/>
              </w:rPr>
            </m:ctrlPr>
          </m:boxPr>
          <m:e>
            <m:r>
              <w:rPr>
                <w:rFonts w:ascii="Cambria Math" w:hAnsi="Cambria Math"/>
              </w:rPr>
              <m:t>t</m:t>
            </m:r>
          </m:e>
        </m:box>
      </m:oMath>
      <w:r>
        <w:rPr>
          <w:rFonts w:ascii="Calibri" w:hAnsi="Calibri"/>
        </w:rPr>
        <w:t xml:space="preserve">, place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rPr>
          <w:rFonts w:ascii="Calibri" w:hAnsi="Calibri"/>
        </w:rPr>
        <w:t xml:space="preserve"> so the dynamics can steer it toward the correct next token.</w:t>
      </w:r>
    </w:p>
    <w:p w14:paraId="14F3DEB1" w14:textId="77777777" w:rsidR="00455F66" w:rsidRDefault="00000000">
      <w:pPr>
        <w:spacing w:after="120"/>
      </w:pPr>
      <w:r>
        <w:rPr>
          <w:rFonts w:ascii="Calibri" w:hAnsi="Calibri"/>
        </w:rPr>
        <w:t xml:space="preserve">• As output direction: the dot product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should be high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and low otherwise.</w:t>
      </w:r>
    </w:p>
    <w:p w14:paraId="6AB2E325" w14:textId="77777777" w:rsidR="00455F66" w:rsidRDefault="00000000">
      <w:pPr>
        <w:spacing w:after="120"/>
      </w:pPr>
      <w:r>
        <w:rPr>
          <w:rFonts w:ascii="Calibri" w:hAnsi="Calibri"/>
        </w:rPr>
        <w:t xml:space="preserve">These are different objectives sharing the same parameter. For frequent tokens, both gradients are strong and consistent — the row gets plenty of signal from both paths and can find a compromise. For rare tokens, the input gradient fires rarely (the token barely appears in training batches), so the output gradient dominates — but the output gradient itself is weak because the rare token is almost never the correct target. The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for a rare token ends up under-trained from both directions.</w:t>
      </w:r>
    </w:p>
    <w:p w14:paraId="6BC10125" w14:textId="77777777" w:rsidR="00455F66" w:rsidRDefault="00000000">
      <w:pPr>
        <w:spacing w:after="120"/>
      </w:pPr>
      <w:r>
        <w:rPr>
          <w:rFonts w:ascii="Calibri" w:hAnsi="Calibri"/>
        </w:rPr>
        <w:lastRenderedPageBreak/>
        <w:t>This is exactly the root cause the D0.4 diagnostic exposed: rare tokens have CE above the uniform baseline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ln</m:t>
                </m:r>
              </m:fName>
              <m:e>
                <m:r>
                  <w:rPr>
                    <w:rFonts w:ascii="Cambria Math" w:hAnsi="Cambria Math"/>
                  </w:rPr>
                  <m:t>V</m:t>
                </m:r>
              </m:e>
            </m:func>
          </m:e>
        </m:box>
      </m:oMath>
      <w:r>
        <w:rPr>
          <w:rFonts w:ascii="Calibri" w:hAnsi="Calibri"/>
        </w:rPr>
        <w:t>), meaning the model actively assigns them less probability than a uniform prior would. The output bias (Fix 1) and untied head (Fix 2) break this tension:</w:t>
      </w:r>
    </w:p>
    <w:tbl>
      <w:tblPr>
        <w:tblStyle w:val="TableGrid"/>
        <w:tblW w:w="0" w:type="auto"/>
        <w:tblLook w:val="04A0" w:firstRow="1" w:lastRow="0" w:firstColumn="1" w:lastColumn="0" w:noHBand="0" w:noVBand="1"/>
      </w:tblPr>
      <w:tblGrid>
        <w:gridCol w:w="2338"/>
        <w:gridCol w:w="2337"/>
        <w:gridCol w:w="2337"/>
        <w:gridCol w:w="2338"/>
      </w:tblGrid>
      <w:tr w:rsidR="00455F66" w14:paraId="6CBDFA08" w14:textId="77777777">
        <w:tc>
          <w:tcPr>
            <w:tcW w:w="2340" w:type="dxa"/>
          </w:tcPr>
          <w:p w14:paraId="6655C833" w14:textId="77777777" w:rsidR="00455F66" w:rsidRDefault="00000000">
            <w:r>
              <w:rPr>
                <w:rFonts w:ascii="Calibri" w:hAnsi="Calibri"/>
                <w:b/>
                <w:sz w:val="17"/>
              </w:rPr>
              <w:t>Setup</w:t>
            </w:r>
          </w:p>
        </w:tc>
        <w:tc>
          <w:tcPr>
            <w:tcW w:w="2340" w:type="dxa"/>
          </w:tcPr>
          <w:p w14:paraId="03EE2BC4" w14:textId="77777777" w:rsidR="00455F66" w:rsidRDefault="00000000">
            <w:r>
              <w:rPr>
                <w:rFonts w:ascii="Calibri" w:hAnsi="Calibri"/>
                <w:b/>
                <w:sz w:val="17"/>
              </w:rPr>
              <w:t>Input role</w:t>
            </w:r>
          </w:p>
        </w:tc>
        <w:tc>
          <w:tcPr>
            <w:tcW w:w="2340" w:type="dxa"/>
          </w:tcPr>
          <w:p w14:paraId="6311AC82" w14:textId="77777777" w:rsidR="00455F66" w:rsidRDefault="00000000">
            <w:r>
              <w:rPr>
                <w:rFonts w:ascii="Calibri" w:hAnsi="Calibri"/>
                <w:b/>
                <w:sz w:val="17"/>
              </w:rPr>
              <w:t>Output role</w:t>
            </w:r>
          </w:p>
        </w:tc>
        <w:tc>
          <w:tcPr>
            <w:tcW w:w="2340" w:type="dxa"/>
          </w:tcPr>
          <w:p w14:paraId="3813DACF" w14:textId="77777777" w:rsidR="00455F66" w:rsidRDefault="00000000">
            <w:r>
              <w:rPr>
                <w:rFonts w:ascii="Calibri" w:hAnsi="Calibri"/>
                <w:b/>
                <w:sz w:val="17"/>
              </w:rPr>
              <w:t>Rare-token problem</w:t>
            </w:r>
          </w:p>
        </w:tc>
      </w:tr>
      <w:tr w:rsidR="00455F66" w14:paraId="6D4B2730" w14:textId="77777777">
        <w:tc>
          <w:tcPr>
            <w:tcW w:w="2340" w:type="dxa"/>
          </w:tcPr>
          <w:p w14:paraId="4F2E0602" w14:textId="77777777" w:rsidR="00455F66" w:rsidRDefault="00000000">
            <w:r>
              <w:rPr>
                <w:rFonts w:ascii="Calibri" w:hAnsi="Calibri"/>
                <w:sz w:val="17"/>
              </w:rPr>
              <w:t>Tied (baseline)</w:t>
            </w:r>
          </w:p>
        </w:tc>
        <w:tc>
          <w:tcPr>
            <w:tcW w:w="2340" w:type="dxa"/>
          </w:tcPr>
          <w:p w14:paraId="33A9535E"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01F0126C"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71FF6178" w14:textId="77777777" w:rsidR="00455F66" w:rsidRDefault="00000000">
            <w:r>
              <w:rPr>
                <w:rFonts w:ascii="Calibri" w:hAnsi="Calibri"/>
                <w:sz w:val="17"/>
              </w:rPr>
              <w:t>Both roles fight over the same under-trained row</w:t>
            </w:r>
          </w:p>
        </w:tc>
      </w:tr>
      <w:tr w:rsidR="00455F66" w14:paraId="2593C699" w14:textId="77777777">
        <w:tc>
          <w:tcPr>
            <w:tcW w:w="2340" w:type="dxa"/>
          </w:tcPr>
          <w:p w14:paraId="772B513F" w14:textId="77777777" w:rsidR="00455F66" w:rsidRDefault="00000000">
            <w:r>
              <w:rPr>
                <w:rFonts w:ascii="Calibri" w:hAnsi="Calibri"/>
                <w:sz w:val="17"/>
              </w:rPr>
              <w:t>Tied + bias (Fix 1)</w:t>
            </w:r>
          </w:p>
        </w:tc>
        <w:tc>
          <w:tcPr>
            <w:tcW w:w="2340" w:type="dxa"/>
          </w:tcPr>
          <w:p w14:paraId="53D8E4FB" w14:textId="0BEAD98F" w:rsidR="00455F66" w:rsidRDefault="00D13CA4">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Pr>
                <w:rFonts w:eastAsiaTheme="minorEastAsia"/>
                <w:sz w:val="17"/>
              </w:rPr>
              <w:t xml:space="preserve"> </w:t>
            </w:r>
          </w:p>
        </w:tc>
        <w:tc>
          <w:tcPr>
            <w:tcW w:w="2340" w:type="dxa"/>
          </w:tcPr>
          <w:p w14:paraId="42D55E34" w14:textId="118965EE" w:rsidR="00455F66" w:rsidRDefault="00D13CA4">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r>
                <w:rPr>
                  <w:rFonts w:ascii="Cambria Math" w:hAnsi="Cambria Math"/>
                  <w:sz w:val="17"/>
                </w:rPr>
                <m:t xml:space="preserve"> + </m:t>
              </m:r>
              <m:sSub>
                <m:sSubPr>
                  <m:ctrlPr>
                    <w:rPr>
                      <w:rFonts w:ascii="Cambria Math" w:hAnsi="Cambria Math"/>
                      <w:i/>
                      <w:sz w:val="17"/>
                    </w:rPr>
                  </m:ctrlPr>
                </m:sSubPr>
                <m:e>
                  <m:r>
                    <w:rPr>
                      <w:rFonts w:ascii="Cambria Math" w:hAnsi="Cambria Math"/>
                      <w:sz w:val="17"/>
                    </w:rPr>
                    <m:t>b</m:t>
                  </m:r>
                </m:e>
                <m:sub>
                  <m:r>
                    <w:rPr>
                      <w:rFonts w:ascii="Cambria Math" w:hAnsi="Cambria Math"/>
                      <w:sz w:val="17"/>
                    </w:rPr>
                    <m:t>v</m:t>
                  </m:r>
                </m:sub>
              </m:sSub>
            </m:oMath>
            <w:r>
              <w:rPr>
                <w:rFonts w:eastAsiaTheme="minorEastAsia"/>
                <w:sz w:val="17"/>
              </w:rPr>
              <w:t xml:space="preserve"> </w:t>
            </w:r>
          </w:p>
        </w:tc>
        <w:tc>
          <w:tcPr>
            <w:tcW w:w="2340" w:type="dxa"/>
          </w:tcPr>
          <w:p w14:paraId="0E8BD5BF" w14:textId="23923420" w:rsidR="00455F66" w:rsidRDefault="00000000">
            <w:r>
              <w:rPr>
                <w:rFonts w:ascii="Calibri" w:hAnsi="Calibri"/>
                <w:sz w:val="17"/>
              </w:rPr>
              <w:t xml:space="preserve">Bias carries the unigram prior; </w:t>
            </w:r>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Pr>
                <w:rFonts w:ascii="Calibri" w:hAnsi="Calibri"/>
                <w:sz w:val="17"/>
              </w:rPr>
              <w:t xml:space="preserve"> only needs to encode contextual deviation</w:t>
            </w:r>
          </w:p>
        </w:tc>
      </w:tr>
      <w:tr w:rsidR="00455F66" w14:paraId="30431B37" w14:textId="77777777">
        <w:tc>
          <w:tcPr>
            <w:tcW w:w="2340" w:type="dxa"/>
          </w:tcPr>
          <w:p w14:paraId="313696A0" w14:textId="77777777" w:rsidR="00455F66" w:rsidRDefault="00000000">
            <w:r>
              <w:rPr>
                <w:rFonts w:ascii="Calibri" w:hAnsi="Calibri"/>
                <w:sz w:val="17"/>
              </w:rPr>
              <w:t>Untied (Fix 2)</w:t>
            </w:r>
          </w:p>
        </w:tc>
        <w:tc>
          <w:tcPr>
            <w:tcW w:w="2340" w:type="dxa"/>
          </w:tcPr>
          <w:p w14:paraId="163D5710" w14:textId="77777777" w:rsidR="00455F66" w:rsidRDefault="00000000">
            <w:r>
              <w:rPr>
                <w:rFonts w:ascii="Calibri" w:hAnsi="Calibri"/>
                <w:sz w:val="17"/>
              </w:rPr>
              <w:t>E_v</w:t>
            </w:r>
          </w:p>
        </w:tc>
        <w:tc>
          <w:tcPr>
            <w:tcW w:w="2340" w:type="dxa"/>
          </w:tcPr>
          <w:p w14:paraId="4A41B99C" w14:textId="77777777" w:rsidR="00455F66" w:rsidRDefault="00000000">
            <w:r>
              <w:rPr>
                <w:rFonts w:ascii="Calibri" w:hAnsi="Calibri"/>
                <w:sz w:val="17"/>
              </w:rPr>
              <w:t>W_out,v</w:t>
            </w:r>
          </w:p>
        </w:tc>
        <w:tc>
          <w:tcPr>
            <w:tcW w:w="2340" w:type="dxa"/>
          </w:tcPr>
          <w:p w14:paraId="567A635F" w14:textId="77777777" w:rsidR="00455F66" w:rsidRDefault="00000000">
            <w:r>
              <w:rPr>
                <w:rFonts w:ascii="Calibri" w:hAnsi="Calibri"/>
                <w:sz w:val="17"/>
              </w:rPr>
              <w:t>Completely independent parameters; each is trained by only one gradient source</w:t>
            </w:r>
          </w:p>
        </w:tc>
      </w:tr>
    </w:tbl>
    <w:p w14:paraId="1977CF72" w14:textId="77777777" w:rsidR="00455F66" w:rsidRDefault="00455F66"/>
    <w:p w14:paraId="245E0050" w14:textId="77777777" w:rsidR="00455F66" w:rsidRDefault="00000000">
      <w:pPr>
        <w:spacing w:after="120"/>
      </w:pPr>
      <w:r>
        <w:rPr>
          <w:rFonts w:ascii="Calibri" w:hAnsi="Calibri"/>
        </w:rPr>
        <w:t>In the current multi-head run (</w:t>
      </w:r>
      <w:r w:rsidRPr="00CD07FF">
        <w:rPr>
          <w:rFonts w:ascii="Consolas" w:hAnsi="Consolas" w:cs="Consolas"/>
          <w:sz w:val="17"/>
          <w:szCs w:val="17"/>
        </w:rPr>
        <w:t>TIE_EMBEDDINGS=True</w:t>
      </w:r>
      <w:r>
        <w:rPr>
          <w:rFonts w:ascii="Calibri" w:hAnsi="Calibri"/>
        </w:rPr>
        <w:t xml:space="preserve">, </w:t>
      </w:r>
      <w:r w:rsidRPr="00CD07FF">
        <w:rPr>
          <w:rFonts w:ascii="Consolas" w:hAnsi="Consolas" w:cs="Consolas"/>
          <w:sz w:val="17"/>
          <w:szCs w:val="17"/>
        </w:rPr>
        <w:t>USE_OUTPUT_BIAS=True</w:t>
      </w:r>
      <w:r>
        <w:rPr>
          <w:rFonts w:ascii="Calibri" w:hAnsi="Calibri"/>
        </w:rPr>
        <w:t xml:space="preserve">), the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e>
        </m:box>
      </m:oMath>
      <w:r>
        <w:rPr>
          <w:rFonts w:ascii="Calibri" w:hAnsi="Calibri"/>
        </w:rPr>
        <w:t xml:space="preserve"> absorbs the frequency prior at step 0, so </w:t>
      </w:r>
      <m:oMath>
        <m:box>
          <m:boxPr>
            <m:ctrlPr>
              <w:rPr>
                <w:rFonts w:ascii="Cambria Math" w:hAnsi="Cambria Math"/>
              </w:rPr>
            </m:ctrlPr>
          </m:boxPr>
          <m:e>
            <m:r>
              <w:rPr>
                <w:rFonts w:ascii="Cambria Math" w:hAnsi="Cambria Math"/>
              </w:rPr>
              <m:t>E</m:t>
            </m:r>
          </m:e>
        </m:box>
      </m:oMath>
      <w:r>
        <w:rPr>
          <w:rFonts w:ascii="Calibri" w:hAnsi="Calibri"/>
        </w:rPr>
        <w:t xml:space="preserve"> no longer needs to encode “how common is token </w:t>
      </w:r>
      <m:oMath>
        <m:box>
          <m:boxPr>
            <m:ctrlPr>
              <w:rPr>
                <w:rFonts w:ascii="Cambria Math" w:hAnsi="Cambria Math"/>
              </w:rPr>
            </m:ctrlPr>
          </m:boxPr>
          <m:e>
            <m:r>
              <w:rPr>
                <w:rFonts w:ascii="Cambria Math" w:hAnsi="Cambria Math"/>
              </w:rPr>
              <m:t>v</m:t>
            </m:r>
          </m:e>
        </m:box>
      </m:oMath>
      <w:r>
        <w:rPr>
          <w:rFonts w:ascii="Calibri" w:hAnsi="Calibri"/>
        </w:rPr>
        <w:t>” in its geometry — it can focus on encoding semantic placement for the input and contextual discrimination for the output.</w:t>
      </w:r>
    </w:p>
    <w:p w14:paraId="453EC3DF" w14:textId="77777777" w:rsidR="000D639D" w:rsidRDefault="000D639D" w:rsidP="00360101">
      <w:pPr>
        <w:rPr>
          <w:rFonts w:eastAsiaTheme="minorEastAsia"/>
        </w:rPr>
      </w:pPr>
    </w:p>
    <w:p w14:paraId="13ED0E71" w14:textId="77777777" w:rsidR="00680536" w:rsidRDefault="00680536" w:rsidP="00360101">
      <w:pPr>
        <w:rPr>
          <w:rFonts w:eastAsiaTheme="minorEastAsia"/>
        </w:rPr>
      </w:pPr>
      <w:r w:rsidRPr="00680536">
        <w:rPr>
          <w:rFonts w:eastAsiaTheme="minorEastAsia"/>
          <w:b/>
          <w:bCs/>
        </w:rPr>
        <w:t>Note</w:t>
      </w:r>
      <w:r>
        <w:rPr>
          <w:rFonts w:eastAsiaTheme="minorEastAsia"/>
        </w:rPr>
        <w:t>: distinction between “deep” and “shallow” gradient</w:t>
      </w:r>
    </w:p>
    <w:p w14:paraId="084FC305" w14:textId="77777777" w:rsidR="00680536" w:rsidRDefault="00680536" w:rsidP="00360101">
      <w:pPr>
        <w:rPr>
          <w:rFonts w:eastAsiaTheme="minorEastAsia"/>
        </w:rPr>
      </w:pPr>
    </w:p>
    <w:p w14:paraId="76F9529B" w14:textId="77777777" w:rsidR="000B467B" w:rsidRDefault="00B77C0C" w:rsidP="00360101">
      <w:pPr>
        <w:rPr>
          <w:rFonts w:eastAsiaTheme="minorEastAsia"/>
        </w:rPr>
      </w:pPr>
      <w:r>
        <w:rPr>
          <w:rFonts w:eastAsiaTheme="minorEastAsia"/>
        </w:rPr>
        <w:t xml:space="preserve">Let us trace the full path </w:t>
      </w:r>
      <w:r w:rsidR="00680536">
        <w:rPr>
          <w:rFonts w:eastAsiaTheme="minorEastAsia"/>
        </w:rPr>
        <w:t xml:space="preserve">of the gradient in (out.1) </w:t>
      </w:r>
      <w:r>
        <w:rPr>
          <w:rFonts w:eastAsiaTheme="minorEastAsia"/>
        </w:rPr>
        <w:t>to make this statement concrete.</w:t>
      </w:r>
    </w:p>
    <w:p w14:paraId="55E30290" w14:textId="77777777" w:rsidR="00B77C0C" w:rsidRDefault="00B77C0C" w:rsidP="00360101">
      <w:pPr>
        <w:rPr>
          <w:rFonts w:eastAsiaTheme="minorEastAsia"/>
        </w:rPr>
      </w:pPr>
    </w:p>
    <w:p w14:paraId="00E62AB4" w14:textId="77777777" w:rsidR="00B77C0C" w:rsidRDefault="00B77C0C" w:rsidP="00360101">
      <w:pPr>
        <w:rPr>
          <w:rFonts w:eastAsiaTheme="minorEastAsia"/>
        </w:rPr>
      </w:pPr>
      <w:r>
        <w:rPr>
          <w:rFonts w:eastAsiaTheme="minorEastAsia"/>
        </w:rPr>
        <w:t xml:space="preserve">The computation graph from </w:t>
      </w:r>
      <w:r w:rsidRPr="00B77C0C">
        <w:rPr>
          <w:rFonts w:ascii="Consolas" w:eastAsiaTheme="minorEastAsia" w:hAnsi="Consolas" w:cs="Consolas"/>
        </w:rPr>
        <w:t>E</w:t>
      </w:r>
      <w:r>
        <w:rPr>
          <w:rFonts w:eastAsiaTheme="minorEastAsia"/>
        </w:rPr>
        <w:t xml:space="preserve"> to the loss (output path):</w:t>
      </w:r>
    </w:p>
    <w:p w14:paraId="1900ED72" w14:textId="77777777" w:rsidR="00B77C0C" w:rsidRDefault="00B77C0C" w:rsidP="00360101">
      <w:pPr>
        <w:rPr>
          <w:rFonts w:eastAsiaTheme="minorEastAsia"/>
        </w:rPr>
      </w:pPr>
    </w:p>
    <w:p w14:paraId="53A1EEC7" w14:textId="77777777" w:rsidR="00B77C0C" w:rsidRDefault="00B77C0C" w:rsidP="00360101">
      <w:pPr>
        <w:rPr>
          <w:rFonts w:eastAsiaTheme="minorEastAsia"/>
        </w:rPr>
      </w:pPr>
      <w:r w:rsidRPr="00B77C0C">
        <w:rPr>
          <w:rFonts w:ascii="Consolas" w:eastAsiaTheme="minorEastAsia" w:hAnsi="Consolas" w:cs="Consolas"/>
          <w:sz w:val="17"/>
          <w:szCs w:val="17"/>
        </w:rPr>
        <w:t>E[x_t]</w:t>
      </w:r>
      <w:r>
        <w:rPr>
          <w:rFonts w:eastAsiaTheme="minorEastAsia"/>
        </w:rPr>
        <w:t xml:space="preserve"> </w:t>
      </w:r>
      <m:oMath>
        <m:r>
          <w:rPr>
            <w:rFonts w:ascii="Cambria Math" w:eastAsiaTheme="minorEastAsia" w:hAnsi="Cambria Math"/>
          </w:rPr>
          <m:t>→</m:t>
        </m:r>
      </m:oMath>
      <w:r>
        <w:rPr>
          <w:rFonts w:eastAsiaTheme="minorEastAsia"/>
        </w:rPr>
        <w:t xml:space="preserve"> </w:t>
      </w:r>
      <w:r w:rsidRPr="00B77C0C">
        <w:rPr>
          <w:rFonts w:ascii="Consolas" w:eastAsiaTheme="minorEastAsia" w:hAnsi="Consolas" w:cs="Consolas"/>
          <w:sz w:val="17"/>
          <w:szCs w:val="17"/>
        </w:rPr>
        <w:t>h_0[t] = E[x_t] + P[t]</w:t>
      </w:r>
    </w:p>
    <w:p w14:paraId="06522EC3"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19D89E32" w14:textId="77777777" w:rsidR="00B77C0C" w:rsidRDefault="00B77C0C" w:rsidP="00360101">
      <w:pPr>
        <w:rPr>
          <w:rFonts w:eastAsiaTheme="minorEastAsia"/>
        </w:rPr>
      </w:pPr>
      <w:r>
        <w:rPr>
          <w:rFonts w:eastAsiaTheme="minorEastAsia"/>
        </w:rPr>
        <w:t xml:space="preserve">              Verlet layer 1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BD26B5" w:rsidRPr="00E814D1">
        <w:rPr>
          <w:rFonts w:ascii="Consolas" w:eastAsiaTheme="minorEastAsia" w:hAnsi="Consolas" w:cs="Consolas"/>
          <w:sz w:val="17"/>
          <w:szCs w:val="17"/>
        </w:rPr>
        <w:t>m</w:t>
      </w:r>
      <w:r w:rsidR="00BD26B5">
        <w:rPr>
          <w:rFonts w:eastAsiaTheme="minorEastAsia"/>
        </w:rPr>
        <w:t xml:space="preserve">, </w:t>
      </w:r>
      <w:r w:rsidRPr="00B77C0C">
        <w:rPr>
          <w:rFonts w:ascii="Consolas" w:eastAsiaTheme="minorEastAsia" w:hAnsi="Consolas" w:cs="Consolas"/>
          <w:sz w:val="17"/>
          <w:szCs w:val="17"/>
        </w:rPr>
        <w:t>gamma</w:t>
      </w:r>
      <w:r>
        <w:rPr>
          <w:rFonts w:eastAsiaTheme="minorEastAsia"/>
        </w:rPr>
        <w:t>, ...)</w:t>
      </w:r>
    </w:p>
    <w:p w14:paraId="2639B636"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0F100B7D" w14:textId="77777777" w:rsidR="00B77C0C" w:rsidRDefault="00B77C0C" w:rsidP="00360101">
      <w:pPr>
        <w:rPr>
          <w:rFonts w:eastAsiaTheme="minorEastAsia"/>
        </w:rPr>
      </w:pPr>
      <w:r>
        <w:rPr>
          <w:rFonts w:eastAsiaTheme="minorEastAsia"/>
        </w:rPr>
        <w:t xml:space="preserve">              </w:t>
      </w:r>
      <w:r w:rsidR="00367DA1">
        <w:rPr>
          <w:rFonts w:eastAsiaTheme="minorEastAsia"/>
        </w:rPr>
        <w:t>Verlet layer 2</w:t>
      </w:r>
    </w:p>
    <w:p w14:paraId="75957407"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01912489" w14:textId="77777777" w:rsidR="00367DA1" w:rsidRDefault="00367DA1" w:rsidP="00360101">
      <w:pPr>
        <w:rPr>
          <w:rFonts w:eastAsiaTheme="minorEastAsia"/>
        </w:rPr>
      </w:pPr>
      <w:r>
        <w:rPr>
          <w:rFonts w:eastAsiaTheme="minorEastAsia"/>
        </w:rPr>
        <w:t xml:space="preserve">                           ...</w:t>
      </w:r>
    </w:p>
    <w:p w14:paraId="38335624"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247C69AA" w14:textId="77777777" w:rsidR="00367DA1" w:rsidRDefault="00367DA1" w:rsidP="00360101">
      <w:pPr>
        <w:rPr>
          <w:rFonts w:eastAsiaTheme="minorEastAsia"/>
        </w:rPr>
      </w:pPr>
      <w:r>
        <w:rPr>
          <w:rFonts w:eastAsiaTheme="minorEastAsia"/>
        </w:rPr>
        <w:t xml:space="preserve">               Verlet layer L</w:t>
      </w:r>
    </w:p>
    <w:p w14:paraId="53EE61BE" w14:textId="77777777" w:rsidR="00367DA1"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7B289EB2" w14:textId="77777777" w:rsidR="001A3DE5" w:rsidRPr="004D6FDF" w:rsidRDefault="001A3DE5" w:rsidP="00360101">
      <w:pPr>
        <w:rPr>
          <w:rFonts w:ascii="Consolas" w:eastAsiaTheme="minorEastAsia" w:hAnsi="Consolas" w:cs="Consolas"/>
          <w:sz w:val="17"/>
          <w:szCs w:val="17"/>
        </w:rPr>
      </w:pPr>
      <w:r>
        <w:rPr>
          <w:rFonts w:eastAsiaTheme="minorEastAsia"/>
        </w:rPr>
        <w:t xml:space="preserve">                        </w:t>
      </w:r>
      <w:r w:rsidRPr="004D6FDF">
        <w:rPr>
          <w:rFonts w:ascii="Consolas" w:eastAsiaTheme="minorEastAsia" w:hAnsi="Consolas" w:cs="Consolas"/>
          <w:sz w:val="17"/>
          <w:szCs w:val="17"/>
        </w:rPr>
        <w:t>h_L[t]</w:t>
      </w:r>
    </w:p>
    <w:p w14:paraId="605D0959" w14:textId="77777777" w:rsidR="001A3DE5"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6C3C90BE" w14:textId="77777777" w:rsidR="001A3DE5" w:rsidRDefault="001A3DE5" w:rsidP="00360101">
      <w:pPr>
        <w:rPr>
          <w:rFonts w:eastAsiaTheme="minorEastAsia"/>
        </w:rPr>
      </w:pPr>
      <w:r>
        <w:t xml:space="preserve">  logit_{t,v} = </w:t>
      </w:r>
      <m:oMath>
        <m:box>
          <m:boxPr>
            <m:ctrlPr>
              <w:rPr>
                <w:rFonts w:ascii="Cambria Math" w:hAnsi="Cambria Math"/>
              </w:rPr>
            </m:ctrlPr>
          </m:boxPr>
          <m:e>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t</m:t>
            </m:r>
            <m:r>
              <m:rPr>
                <m:sty m:val="p"/>
              </m:rPr>
              <w:rPr>
                <w:rFonts w:ascii="Cambria Math" w:hAnsi="Cambria Math"/>
              </w:rPr>
              <m:t>]</m:t>
            </m:r>
          </m:e>
        </m:box>
      </m:oMath>
      <w:r>
        <w:t xml:space="preserve">     ← E appears again here</w:t>
      </w:r>
    </w:p>
    <w:p w14:paraId="6A89BB10" w14:textId="77777777" w:rsidR="004D6FDF" w:rsidRDefault="004D6FDF" w:rsidP="00360101">
      <w:pPr>
        <w:rPr>
          <w:rFonts w:eastAsiaTheme="minorEastAsia"/>
        </w:rPr>
      </w:pPr>
      <w:r>
        <w:rPr>
          <w:rFonts w:eastAsiaTheme="minorEastAsia"/>
        </w:rPr>
        <w:t xml:space="preserve">                            </w:t>
      </w:r>
      <m:oMath>
        <m:r>
          <w:rPr>
            <w:rFonts w:ascii="Cambria Math" w:eastAsiaTheme="minorEastAsia" w:hAnsi="Cambria Math"/>
          </w:rPr>
          <m:t>↓</m:t>
        </m:r>
      </m:oMath>
    </w:p>
    <w:p w14:paraId="40DA4056" w14:textId="77777777" w:rsidR="004D6FDF" w:rsidRDefault="004D6FDF" w:rsidP="00360101">
      <w:pPr>
        <w:rPr>
          <w:rFonts w:eastAsiaTheme="minorEastAsia"/>
        </w:rPr>
      </w:pPr>
      <w:r>
        <w:rPr>
          <w:rFonts w:eastAsiaTheme="minorEastAsia"/>
        </w:rPr>
        <w:t xml:space="preserve">   softmax </w:t>
      </w:r>
      <m:oMath>
        <m:r>
          <w:rPr>
            <w:rFonts w:ascii="Cambria Math" w:eastAsiaTheme="minorEastAsia" w:hAnsi="Cambria Math"/>
          </w:rPr>
          <m:t>→</m:t>
        </m:r>
      </m:oMath>
      <w:r>
        <w:rPr>
          <w:rFonts w:eastAsiaTheme="minorEastAsia"/>
        </w:rPr>
        <w:t xml:space="preserve"> cross-entropy </w:t>
      </w:r>
      <m:oMath>
        <m:r>
          <w:rPr>
            <w:rFonts w:ascii="Cambria Math" w:eastAsiaTheme="minorEastAsia" w:hAnsi="Cambria Math"/>
          </w:rPr>
          <m:t>→</m:t>
        </m:r>
      </m:oMath>
      <w:r>
        <w:rPr>
          <w:rFonts w:eastAsiaTheme="minorEastAsia"/>
        </w:rPr>
        <w:t xml:space="preserve"> </w:t>
      </w:r>
      <w:r w:rsidRPr="004D6FDF">
        <w:rPr>
          <w:rFonts w:ascii="Consolas" w:eastAsiaTheme="minorEastAsia" w:hAnsi="Consolas" w:cs="Consolas"/>
          <w:sz w:val="17"/>
          <w:szCs w:val="17"/>
        </w:rPr>
        <w:t>L</w:t>
      </w:r>
    </w:p>
    <w:p w14:paraId="0FE2EFD2" w14:textId="77777777" w:rsidR="000B467B" w:rsidRDefault="000B467B" w:rsidP="00360101">
      <w:pPr>
        <w:rPr>
          <w:rFonts w:eastAsiaTheme="minorEastAsia"/>
        </w:rPr>
      </w:pPr>
    </w:p>
    <w:p w14:paraId="10171732" w14:textId="77777777" w:rsidR="000B467B" w:rsidRDefault="004D6FDF" w:rsidP="00360101">
      <w:pPr>
        <w:rPr>
          <w:rFonts w:eastAsiaTheme="minorEastAsia"/>
        </w:rPr>
      </w:pPr>
      <w:r>
        <w:rPr>
          <w:rFonts w:eastAsiaTheme="minorEastAsia"/>
        </w:rPr>
        <w:t xml:space="preserve">When loss.backward() runs, PyTorch computes </w:t>
      </w:r>
      <m:oMath>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oMath>
      <w:r>
        <w:rPr>
          <w:rFonts w:eastAsiaTheme="minorEastAsia"/>
        </w:rPr>
        <w:t xml:space="preserve"> by summing contributions from every node in this graph where E was used</w:t>
      </w:r>
      <w:r w:rsidR="00B07171">
        <w:rPr>
          <w:rFonts w:eastAsiaTheme="minorEastAsia"/>
        </w:rPr>
        <w:t xml:space="preserve"> as eq. (out.1) indicates. This term is “deep” because </w:t>
      </w:r>
      <w:r w:rsidR="00B07171" w:rsidRPr="0075238C">
        <w:rPr>
          <w:rFonts w:ascii="Consolas" w:eastAsiaTheme="minorEastAsia" w:hAnsi="Consolas" w:cs="Consolas"/>
          <w:sz w:val="17"/>
          <w:szCs w:val="17"/>
        </w:rPr>
        <w:t>h_{L,t}</w:t>
      </w:r>
      <w:r w:rsidR="00B07171">
        <w:rPr>
          <w:rFonts w:eastAsiaTheme="minorEastAsia"/>
        </w:rPr>
        <w:t xml:space="preserve"> (aka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B07171">
        <w:rPr>
          <w:rFonts w:eastAsiaTheme="minorEastAsia"/>
        </w:rPr>
        <w:t xml:space="preserve">) itself </w:t>
      </w:r>
      <w:r w:rsidR="0075238C">
        <w:rPr>
          <w:rFonts w:eastAsiaTheme="minorEastAsia"/>
        </w:rPr>
        <w:t xml:space="preserve">depends on </w:t>
      </w:r>
      <w:r w:rsidR="0075238C" w:rsidRPr="0075238C">
        <w:rPr>
          <w:rFonts w:ascii="Consolas" w:eastAsiaTheme="minorEastAsia" w:hAnsi="Consolas" w:cs="Consolas"/>
        </w:rPr>
        <w:t>E</w:t>
      </w:r>
      <w:r w:rsidR="0075238C">
        <w:rPr>
          <w:rFonts w:eastAsiaTheme="minorEastAsia"/>
        </w:rPr>
        <w:t xml:space="preserve"> (through the input path </w:t>
      </w:r>
      <w:r w:rsidR="0075238C" w:rsidRPr="0075238C">
        <w:rPr>
          <w:rFonts w:ascii="Consolas" w:eastAsiaTheme="minorEastAsia" w:hAnsi="Consolas" w:cs="Consolas"/>
          <w:sz w:val="17"/>
          <w:szCs w:val="17"/>
        </w:rPr>
        <w:t>h_0 = E[x_t] + P[t]</w:t>
      </w:r>
      <w:r w:rsidR="0075238C">
        <w:rPr>
          <w:rFonts w:eastAsiaTheme="minorEastAsia"/>
        </w:rPr>
        <w:t xml:space="preserve"> ). So the full chain rule for this contribution passes through:</w:t>
      </w:r>
    </w:p>
    <w:p w14:paraId="60E18CB7" w14:textId="77777777" w:rsidR="0075238C" w:rsidRDefault="0075238C" w:rsidP="00360101">
      <w:pPr>
        <w:rPr>
          <w:rFonts w:eastAsiaTheme="minorEastAsia"/>
        </w:rPr>
      </w:pPr>
    </w:p>
    <w:p w14:paraId="47E0211F" w14:textId="77777777" w:rsidR="0075238C" w:rsidRDefault="00000000" w:rsidP="00360101">
      <w:pPr>
        <w:rPr>
          <w:rFonts w:eastAsiaTheme="minorEastAsia"/>
        </w:rPr>
      </w:pPr>
      <m:oMath>
        <m:box>
          <m:boxPr>
            <m:ctrlPr>
              <w:rPr>
                <w:rFonts w:ascii="Cambria Math" w:hAnsi="Cambria Math"/>
              </w:rPr>
            </m:ctrlPr>
          </m:boxPr>
          <m:e>
            <m:r>
              <w:rPr>
                <w:rFonts w:ascii="Cambria Math" w:hAnsi="Cambria Math"/>
              </w:rPr>
              <m:t>E</m:t>
            </m:r>
          </m:e>
        </m:box>
      </m:oMath>
      <w:r w:rsidR="0075238C">
        <w:t xml:space="preserve"> (embed)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layer 1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layer </w:t>
      </w:r>
      <m:oMath>
        <m:box>
          <m:boxPr>
            <m:ctrlPr>
              <w:rPr>
                <w:rFonts w:ascii="Cambria Math" w:hAnsi="Cambria Math"/>
              </w:rPr>
            </m:ctrlPr>
          </m:boxPr>
          <m:e>
            <m:r>
              <w:rPr>
                <w:rFonts w:ascii="Cambria Math" w:hAnsi="Cambria Math"/>
              </w:rPr>
              <m:t>L</m:t>
            </m:r>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logits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CE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r>
              <w:rPr>
                <w:rFonts w:ascii="Cambria Math" w:hAnsi="Cambria Math"/>
              </w:rPr>
              <m:t>L</m:t>
            </m:r>
          </m:e>
        </m:box>
      </m:oMath>
    </w:p>
    <w:p w14:paraId="7C637787" w14:textId="77777777" w:rsidR="0075238C" w:rsidRDefault="00B35608" w:rsidP="00360101">
      <w:pPr>
        <w:rPr>
          <w:rFonts w:eastAsiaTheme="minorEastAsia"/>
        </w:rPr>
      </w:pPr>
      <w:r>
        <w:rPr>
          <w:rFonts w:eastAsiaTheme="minorEastAsia"/>
        </w:rPr>
        <w:t xml:space="preserve"> </w:t>
      </w:r>
    </w:p>
    <w:p w14:paraId="0EED6B02" w14:textId="77777777" w:rsidR="00BD26B5" w:rsidRDefault="00BD26B5" w:rsidP="00360101">
      <w:pPr>
        <w:rPr>
          <w:rFonts w:eastAsiaTheme="minorEastAsia" w:cs="Consolas"/>
          <w:szCs w:val="19"/>
        </w:rPr>
      </w:pPr>
      <w:r>
        <w:rPr>
          <w:rFonts w:eastAsiaTheme="minorEastAsia"/>
        </w:rPr>
        <w:t xml:space="preserve">So that’s </w:t>
      </w:r>
      <m:oMath>
        <m:r>
          <w:rPr>
            <w:rFonts w:ascii="Cambria Math" w:eastAsiaTheme="minorEastAsia" w:hAnsi="Cambria Math"/>
          </w:rPr>
          <m:t>L</m:t>
        </m:r>
      </m:oMath>
      <w:r>
        <w:rPr>
          <w:rFonts w:eastAsiaTheme="minorEastAsia"/>
        </w:rPr>
        <w:t xml:space="preserve"> Verlet integration steps in the backward path. Each Verlet step involves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E814D1" w:rsidRPr="00E814D1">
        <w:rPr>
          <w:rFonts w:ascii="Consolas" w:eastAsiaTheme="minorEastAsia" w:hAnsi="Consolas" w:cs="Consolas"/>
          <w:sz w:val="17"/>
          <w:szCs w:val="17"/>
        </w:rPr>
        <w:t>m</w:t>
      </w:r>
      <w:r w:rsidR="00E814D1">
        <w:rPr>
          <w:rFonts w:eastAsiaTheme="minorEastAsia"/>
        </w:rPr>
        <w:t xml:space="preserve">, </w:t>
      </w:r>
      <w:r w:rsidRPr="00B77C0C">
        <w:rPr>
          <w:rFonts w:ascii="Consolas" w:eastAsiaTheme="minorEastAsia" w:hAnsi="Consolas" w:cs="Consolas"/>
          <w:sz w:val="17"/>
          <w:szCs w:val="17"/>
        </w:rPr>
        <w:t>gamma</w:t>
      </w:r>
      <w:r w:rsidR="00E814D1" w:rsidRPr="00E814D1">
        <w:rPr>
          <w:rFonts w:eastAsiaTheme="minorEastAsia" w:cs="Consolas"/>
          <w:szCs w:val="19"/>
        </w:rPr>
        <w:t xml:space="preserve"> - the gr</w:t>
      </w:r>
      <w:r w:rsidR="00E814D1">
        <w:rPr>
          <w:rFonts w:eastAsiaTheme="minorEastAsia" w:cs="Consolas"/>
          <w:szCs w:val="19"/>
        </w:rPr>
        <w:t xml:space="preserve">adient flows backward through all of them. For comparison let us consider the “shallow” gradient (the input-path comparison, discussed in the </w:t>
      </w:r>
      <w:r w:rsidR="00680536">
        <w:rPr>
          <w:rFonts w:eastAsiaTheme="minorEastAsia" w:cs="Consolas"/>
          <w:szCs w:val="19"/>
        </w:rPr>
        <w:t>previous</w:t>
      </w:r>
      <w:r w:rsidR="00E814D1">
        <w:rPr>
          <w:rFonts w:eastAsiaTheme="minorEastAsia" w:cs="Consolas"/>
          <w:szCs w:val="19"/>
        </w:rPr>
        <w:t xml:space="preserve"> paragraph) :</w:t>
      </w:r>
    </w:p>
    <w:p w14:paraId="452EF408" w14:textId="77777777" w:rsidR="00E814D1" w:rsidRDefault="00E814D1" w:rsidP="00360101">
      <w:pPr>
        <w:rPr>
          <w:rFonts w:eastAsiaTheme="minorEastAsia" w:cs="Consolas"/>
          <w:szCs w:val="19"/>
        </w:rPr>
      </w:pPr>
    </w:p>
    <w:p w14:paraId="3554BB9C" w14:textId="77777777" w:rsidR="00E814D1" w:rsidRDefault="00000000" w:rsidP="00360101">
      <w:pPr>
        <w:rPr>
          <w:rFonts w:eastAsiaTheme="minorEastAsia" w:cs="Consolas"/>
          <w:szCs w:val="19"/>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input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t: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=v</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0,t</m:t>
                    </m:r>
                  </m:sub>
                </m:sSub>
              </m:den>
            </m:f>
          </m:e>
        </m:nary>
      </m:oMath>
      <w:r w:rsidR="00680536">
        <w:rPr>
          <w:rFonts w:eastAsiaTheme="minorEastAsia" w:cs="Consolas"/>
        </w:rPr>
        <w:t xml:space="preserve">  (in.1) </w:t>
      </w:r>
    </w:p>
    <w:p w14:paraId="0EAE2E4F" w14:textId="77777777" w:rsidR="00E814D1" w:rsidRDefault="00E814D1" w:rsidP="00360101">
      <w:pPr>
        <w:rPr>
          <w:rFonts w:eastAsiaTheme="minorEastAsia"/>
          <w:szCs w:val="19"/>
        </w:rPr>
      </w:pPr>
    </w:p>
    <w:p w14:paraId="4B334FFC" w14:textId="77777777" w:rsidR="00680536" w:rsidRDefault="00680536" w:rsidP="00360101">
      <w:pPr>
        <w:rPr>
          <w:rFonts w:eastAsiaTheme="minorEastAsia"/>
          <w:iCs/>
          <w:szCs w:val="19"/>
        </w:rPr>
      </w:pPr>
      <w:r>
        <w:t xml:space="preserve">Eq. (in.1) is the </w:t>
      </w:r>
      <w:r>
        <w:rPr>
          <w:b/>
        </w:rPr>
        <w:t>input-path</w:t>
      </w:r>
      <w:r>
        <w:t xml:space="preserve"> contribution: the gradient arrives at </w:t>
      </w:r>
      <m:oMath>
        <m:box>
          <m:boxPr>
            <m:ctrlPr>
              <w:rPr>
                <w:rFonts w:ascii="Cambria Math" w:hAnsi="Cambria Math"/>
              </w:rPr>
            </m:ctrlPr>
          </m:boxPr>
          <m:e>
            <m:r>
              <w:rPr>
                <w:rFonts w:ascii="Cambria Math" w:hAnsi="Cambria Math"/>
              </w:rPr>
              <m:t>E</m:t>
            </m:r>
          </m:e>
        </m:box>
      </m:oMath>
      <w:r>
        <w:t xml:space="preserve"> by row-selection at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t xml:space="preserve">, after </w:t>
      </w:r>
      <m:oMath>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t xml:space="preserve"> has already back-propagated through all </w:t>
      </w:r>
      <m:oMath>
        <m:box>
          <m:boxPr>
            <m:ctrlPr>
              <w:rPr>
                <w:rFonts w:ascii="Cambria Math" w:hAnsi="Cambria Math"/>
              </w:rPr>
            </m:ctrlPr>
          </m:boxPr>
          <m:e>
            <m:r>
              <w:rPr>
                <w:rFonts w:ascii="Cambria Math" w:hAnsi="Cambria Math"/>
              </w:rPr>
              <m:t>L</m:t>
            </m:r>
          </m:e>
        </m:box>
      </m:oMath>
      <w:r>
        <w:t xml:space="preserve"> layers. It is not the output matmul path of (out.1). The factor </w:t>
      </w:r>
      <m:oMath>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t xml:space="preserve"> still travelled through all </w:t>
      </w:r>
      <m:oMath>
        <m:box>
          <m:boxPr>
            <m:ctrlPr>
              <w:rPr>
                <w:rFonts w:ascii="Cambria Math" w:hAnsi="Cambria Math"/>
              </w:rPr>
            </m:ctrlPr>
          </m:boxPr>
          <m:e>
            <m:r>
              <w:rPr>
                <w:rFonts w:ascii="Cambria Math" w:hAnsi="Cambria Math"/>
              </w:rPr>
              <m:t>L</m:t>
            </m:r>
          </m:e>
        </m:box>
      </m:oMath>
      <w:r>
        <w:t xml:space="preserve"> layers to get there.</w:t>
      </w:r>
    </w:p>
    <w:p w14:paraId="0A9054BC" w14:textId="77777777" w:rsidR="001A7BF8" w:rsidRDefault="001A7BF8" w:rsidP="00360101">
      <w:pPr>
        <w:rPr>
          <w:rFonts w:eastAsiaTheme="minorEastAsia"/>
          <w:iCs/>
          <w:szCs w:val="19"/>
        </w:rPr>
      </w:pPr>
      <w:r>
        <w:rPr>
          <w:rFonts w:eastAsiaTheme="minorEastAsia"/>
          <w:iCs/>
          <w:szCs w:val="19"/>
        </w:rPr>
        <w:t xml:space="preserve">The “deep” gradient is the one that trains E’s rows to be good output classifiers – it pushes E[v] to align with h_L whenever token v is the correct next token. This gradient carries information about </w:t>
      </w:r>
      <w:r w:rsidRPr="001A7BF8">
        <w:rPr>
          <w:rFonts w:eastAsiaTheme="minorEastAsia"/>
          <w:i/>
          <w:szCs w:val="19"/>
        </w:rPr>
        <w:t>what the dynamics did</w:t>
      </w:r>
      <w:r>
        <w:rPr>
          <w:rFonts w:eastAsiaTheme="minorEastAsia"/>
          <w:iCs/>
          <w:szCs w:val="19"/>
        </w:rPr>
        <w:t xml:space="preserve"> across all L layers (because it flows through them), which means:</w:t>
      </w:r>
    </w:p>
    <w:p w14:paraId="5E0F7022" w14:textId="77777777" w:rsidR="001A7BF8" w:rsidRDefault="001A7BF8" w:rsidP="00360101">
      <w:pPr>
        <w:rPr>
          <w:rFonts w:eastAsiaTheme="minorEastAsia"/>
          <w:iCs/>
          <w:szCs w:val="19"/>
        </w:rPr>
      </w:pPr>
    </w:p>
    <w:p w14:paraId="114DBF44" w14:textId="77777777" w:rsidR="001A7BF8" w:rsidRDefault="001A7BF8" w:rsidP="00360101">
      <w:pPr>
        <w:rPr>
          <w:rFonts w:eastAsiaTheme="minorEastAsia"/>
          <w:iCs/>
          <w:szCs w:val="19"/>
        </w:rPr>
      </w:pPr>
      <w:r>
        <w:rPr>
          <w:rFonts w:eastAsiaTheme="minorEastAsia"/>
          <w:iCs/>
          <w:szCs w:val="19"/>
        </w:rPr>
        <w:t xml:space="preserve"> 1 ) It is the gradient that couples E to V_theta, V_phi, and all the dynamical parameters. Changes to the potentials affect h_L, which changes how </w:t>
      </w:r>
      <w:proofErr w:type="spellStart"/>
      <w:r>
        <w:rPr>
          <w:rFonts w:eastAsiaTheme="minorEastAsia"/>
          <w:iCs/>
          <w:szCs w:val="19"/>
        </w:rPr>
        <w:t>E</w:t>
      </w:r>
      <w:proofErr w:type="spellEnd"/>
      <w:r>
        <w:rPr>
          <w:rFonts w:eastAsiaTheme="minorEastAsia"/>
          <w:iCs/>
          <w:szCs w:val="19"/>
        </w:rPr>
        <w:t xml:space="preserve"> needs to orient its rows.</w:t>
      </w:r>
    </w:p>
    <w:p w14:paraId="6EAF514B" w14:textId="77777777" w:rsidR="001A7BF8" w:rsidRDefault="001A7BF8" w:rsidP="00360101">
      <w:pPr>
        <w:rPr>
          <w:rFonts w:eastAsiaTheme="minorEastAsia"/>
          <w:iCs/>
          <w:szCs w:val="19"/>
        </w:rPr>
      </w:pPr>
    </w:p>
    <w:p w14:paraId="56CE8FEC" w14:textId="77777777" w:rsidR="001A7BF8" w:rsidRDefault="001A7BF8" w:rsidP="00360101">
      <w:pPr>
        <w:rPr>
          <w:rFonts w:eastAsiaTheme="minorEastAsia"/>
          <w:iCs/>
          <w:szCs w:val="19"/>
        </w:rPr>
      </w:pPr>
      <w:r>
        <w:rPr>
          <w:rFonts w:eastAsiaTheme="minorEastAsia"/>
          <w:iCs/>
          <w:szCs w:val="19"/>
        </w:rPr>
        <w:t xml:space="preserve"> 2 ) It is more susceptible to gradient pathologies (vanishing, exploding) because it passes through L sequential nonlinear transformations. This is exactly why the Plummer softening, gradient clipping, and the stability hierarchy matter – a 1/r spike in V_phi at any layer can amplify this gradient. </w:t>
      </w:r>
    </w:p>
    <w:p w14:paraId="4D743D4E" w14:textId="77777777" w:rsidR="001A7BF8" w:rsidRDefault="001A7BF8" w:rsidP="00360101">
      <w:pPr>
        <w:rPr>
          <w:rFonts w:eastAsiaTheme="minorEastAsia"/>
          <w:iCs/>
          <w:szCs w:val="19"/>
        </w:rPr>
      </w:pPr>
    </w:p>
    <w:p w14:paraId="7F60BABD" w14:textId="77777777" w:rsidR="001A7BF8" w:rsidRPr="00E814D1" w:rsidRDefault="001A7BF8" w:rsidP="00360101">
      <w:pPr>
        <w:rPr>
          <w:rFonts w:eastAsiaTheme="minorEastAsia"/>
          <w:szCs w:val="19"/>
        </w:rPr>
      </w:pPr>
      <w:r>
        <w:rPr>
          <w:rFonts w:eastAsiaTheme="minorEastAsia"/>
          <w:iCs/>
          <w:szCs w:val="19"/>
        </w:rPr>
        <w:t xml:space="preserve">3 ) With a </w:t>
      </w:r>
      <w:r w:rsidRPr="001A7BF8">
        <w:rPr>
          <w:rFonts w:eastAsiaTheme="minorEastAsia"/>
          <w:i/>
          <w:szCs w:val="19"/>
        </w:rPr>
        <w:t>tied</w:t>
      </w:r>
      <w:r>
        <w:rPr>
          <w:rFonts w:eastAsiaTheme="minorEastAsia"/>
          <w:iCs/>
          <w:szCs w:val="19"/>
        </w:rPr>
        <w:t xml:space="preserve"> head, this same E that receives this deep gradient is also the embedding used to </w:t>
      </w:r>
      <w:r w:rsidRPr="001A7BF8">
        <w:rPr>
          <w:rFonts w:eastAsiaTheme="minorEastAsia"/>
          <w:i/>
          <w:szCs w:val="19"/>
        </w:rPr>
        <w:t>create</w:t>
      </w:r>
      <w:r>
        <w:rPr>
          <w:rFonts w:eastAsiaTheme="minorEastAsia"/>
          <w:iCs/>
          <w:szCs w:val="19"/>
        </w:rPr>
        <w:t xml:space="preserve"> h_0. </w:t>
      </w:r>
      <w:r w:rsidR="00B07FC0">
        <w:rPr>
          <w:rFonts w:eastAsiaTheme="minorEastAsia"/>
          <w:iCs/>
          <w:szCs w:val="19"/>
        </w:rPr>
        <w:t xml:space="preserve">So the deep gradient (which wants E[v] to be a good decoder of h_L) and the input-path gradient (which wants E[v] to be a good initial placement for token v) are pulling on the </w:t>
      </w:r>
      <w:r w:rsidR="00B07FC0" w:rsidRPr="00B07FC0">
        <w:rPr>
          <w:rFonts w:eastAsiaTheme="minorEastAsia"/>
          <w:i/>
          <w:szCs w:val="19"/>
        </w:rPr>
        <w:t>same parameters</w:t>
      </w:r>
      <w:r w:rsidR="00B07FC0">
        <w:rPr>
          <w:rFonts w:eastAsiaTheme="minorEastAsia"/>
          <w:iCs/>
          <w:szCs w:val="19"/>
        </w:rPr>
        <w:t xml:space="preserve"> – creating the tension that the untied-head and output-bias fixes address. </w:t>
      </w:r>
    </w:p>
    <w:p w14:paraId="3CE8E9F5" w14:textId="77777777" w:rsidR="0075238C" w:rsidRDefault="0075238C" w:rsidP="00360101">
      <w:pPr>
        <w:rPr>
          <w:rFonts w:eastAsiaTheme="minorEastAsia"/>
        </w:rPr>
      </w:pPr>
    </w:p>
    <w:p w14:paraId="4E643B3D" w14:textId="77777777" w:rsidR="00E814D1" w:rsidRDefault="00E814D1" w:rsidP="00360101">
      <w:pPr>
        <w:rPr>
          <w:rFonts w:eastAsiaTheme="minorEastAsia"/>
        </w:rPr>
      </w:pPr>
      <w:r w:rsidRPr="00B07FC0">
        <w:rPr>
          <w:rFonts w:eastAsiaTheme="minorEastAsia"/>
          <w:b/>
          <w:bCs/>
        </w:rPr>
        <w:t>Note</w:t>
      </w:r>
      <w:r>
        <w:rPr>
          <w:rFonts w:eastAsiaTheme="minorEastAsia"/>
        </w:rPr>
        <w:t>: gradient of the semantic mass</w:t>
      </w:r>
    </w:p>
    <w:p w14:paraId="764167D3" w14:textId="77777777" w:rsidR="000B467B" w:rsidRDefault="00B07FC0" w:rsidP="00360101">
      <w:pPr>
        <w:rPr>
          <w:rFonts w:eastAsiaTheme="minorEastAsia"/>
        </w:rPr>
      </w:pPr>
      <w:r>
        <w:rPr>
          <w:rFonts w:eastAsiaTheme="minorEastAsia"/>
        </w:rPr>
        <w:t>Gradients are computed for the semantic mass parameters as described below:</w:t>
      </w:r>
    </w:p>
    <w:p w14:paraId="46391398" w14:textId="77777777" w:rsidR="00B07FC0" w:rsidRDefault="00C96E53" w:rsidP="00360101">
      <w:pPr>
        <w:rPr>
          <w:rFonts w:eastAsiaTheme="minorEastAsia"/>
        </w:rPr>
      </w:pPr>
      <w:r>
        <w:rPr>
          <w:rFonts w:eastAsiaTheme="minorEastAsia"/>
        </w:rPr>
        <w:t xml:space="preserve">The mass is learnable ( </w:t>
      </w:r>
      <w:r w:rsidR="00956717" w:rsidRPr="00BE39A5">
        <w:rPr>
          <w:rFonts w:ascii="Consolas" w:eastAsiaTheme="minorEastAsia" w:hAnsi="Consolas" w:cs="Consolas"/>
          <w:sz w:val="17"/>
          <w:szCs w:val="17"/>
        </w:rPr>
        <w:t>learn_mgamma=True</w:t>
      </w:r>
      <w:r w:rsidR="00956717">
        <w:rPr>
          <w:rFonts w:eastAsiaTheme="minorEastAsia"/>
        </w:rPr>
        <w:t xml:space="preserve"> is the default in </w:t>
      </w:r>
      <w:r w:rsidR="00956717" w:rsidRPr="00BE39A5">
        <w:rPr>
          <w:rFonts w:ascii="Consolas" w:eastAsiaTheme="minorEastAsia" w:hAnsi="Consolas" w:cs="Consolas"/>
          <w:sz w:val="17"/>
          <w:szCs w:val="17"/>
        </w:rPr>
        <w:t>PARFConfig</w:t>
      </w:r>
      <w:r>
        <w:rPr>
          <w:rFonts w:eastAsiaTheme="minorEastAsia"/>
        </w:rPr>
        <w:t xml:space="preserve"> ).</w:t>
      </w:r>
      <w:r w:rsidR="00956717">
        <w:rPr>
          <w:rFonts w:eastAsiaTheme="minorEastAsia"/>
        </w:rPr>
        <w:t xml:space="preserve"> There are two trainable parameters involved:</w:t>
      </w:r>
    </w:p>
    <w:p w14:paraId="16B1977F" w14:textId="77777777" w:rsidR="00956717" w:rsidRDefault="00956717" w:rsidP="00360101">
      <w:pPr>
        <w:rPr>
          <w:rFonts w:eastAsiaTheme="minorEastAsia"/>
        </w:rPr>
      </w:pPr>
    </w:p>
    <w:p w14:paraId="360D9E7B" w14:textId="77777777" w:rsidR="00956717" w:rsidRPr="00360101" w:rsidRDefault="00956717" w:rsidP="00360101">
      <w:pPr>
        <w:rPr>
          <w:rFonts w:eastAsiaTheme="minorEastAsia"/>
        </w:rPr>
      </w:pPr>
      <w:r>
        <w:rPr>
          <w:rFonts w:eastAsiaTheme="minorEastAsia"/>
        </w:rPr>
        <w:t xml:space="preserve">1 ) </w:t>
      </w:r>
      <w:r w:rsidRPr="00956717">
        <w:rPr>
          <w:rFonts w:ascii="Consolas" w:eastAsiaTheme="minorEastAsia" w:hAnsi="Consolas" w:cs="Consolas"/>
          <w:sz w:val="17"/>
          <w:szCs w:val="17"/>
        </w:rPr>
        <w:t>raw_m_bias</w:t>
      </w:r>
      <w:r>
        <w:rPr>
          <w:rFonts w:eastAsiaTheme="minorEastAsia"/>
        </w:rPr>
        <w:t xml:space="preserve"> – a scalar </w:t>
      </w:r>
      <w:r w:rsidRPr="00956717">
        <w:rPr>
          <w:rFonts w:ascii="Consolas" w:eastAsiaTheme="minorEastAsia" w:hAnsi="Consolas" w:cs="Consolas"/>
          <w:sz w:val="17"/>
          <w:szCs w:val="17"/>
        </w:rPr>
        <w:t>nn.Parameter</w:t>
      </w:r>
      <w:r>
        <w:rPr>
          <w:rFonts w:eastAsiaTheme="minorEastAsia"/>
        </w:rPr>
        <w:t xml:space="preserve"> that sets the baseline mass. It is stored in a “raw” (unconstrained) space; the actual mass is recovered via </w:t>
      </w:r>
      <w:r w:rsidRPr="00956717">
        <w:rPr>
          <w:rFonts w:ascii="Consolas" w:eastAsiaTheme="minorEastAsia" w:hAnsi="Consolas" w:cs="Consolas"/>
          <w:sz w:val="17"/>
          <w:szCs w:val="17"/>
        </w:rPr>
        <w:t>softplus(raw_m_bias) + 1e-3</w:t>
      </w:r>
      <w:r>
        <w:rPr>
          <w:rFonts w:eastAsiaTheme="minorEastAsia"/>
        </w:rPr>
        <w:t xml:space="preserve"> to guarantee positivity.</w:t>
      </w:r>
    </w:p>
    <w:p w14:paraId="4385A921" w14:textId="77777777" w:rsidR="00360101" w:rsidRDefault="00360101" w:rsidP="00863584">
      <w:pPr>
        <w:rPr>
          <w:rFonts w:eastAsiaTheme="minorEastAsia"/>
        </w:rPr>
      </w:pPr>
    </w:p>
    <w:p w14:paraId="79B625A9" w14:textId="77777777" w:rsidR="00956717" w:rsidRDefault="00956717" w:rsidP="00863584">
      <w:pPr>
        <w:rPr>
          <w:rFonts w:eastAsiaTheme="minorEastAsia"/>
        </w:rPr>
      </w:pPr>
      <w:r>
        <w:rPr>
          <w:rFonts w:eastAsiaTheme="minorEastAsia"/>
        </w:rPr>
        <w:t xml:space="preserve">2 ) </w:t>
      </w:r>
      <w:r w:rsidRPr="00E122E4">
        <w:rPr>
          <w:rFonts w:ascii="Consolas" w:eastAsiaTheme="minorEastAsia" w:hAnsi="Consolas" w:cs="Consolas"/>
          <w:sz w:val="17"/>
          <w:szCs w:val="17"/>
        </w:rPr>
        <w:t>raw_logfreq_alpha</w:t>
      </w:r>
      <w:r>
        <w:rPr>
          <w:rFonts w:eastAsiaTheme="minorEastAsia"/>
        </w:rPr>
        <w:t xml:space="preserve"> – a scalar that controls how strongly token frequency modules </w:t>
      </w:r>
      <w:r w:rsidR="00E122E4">
        <w:rPr>
          <w:rFonts w:eastAsiaTheme="minorEastAsia"/>
        </w:rPr>
        <w:t xml:space="preserve">mass. With </w:t>
      </w:r>
      <w:r w:rsidR="00E122E4" w:rsidRPr="00E122E4">
        <w:rPr>
          <w:rFonts w:ascii="Consolas" w:eastAsiaTheme="minorEastAsia" w:hAnsi="Consolas" w:cs="Consolas"/>
          <w:sz w:val="17"/>
          <w:szCs w:val="17"/>
        </w:rPr>
        <w:t xml:space="preserve">mass_mode = ‘logfreq’ </w:t>
      </w:r>
      <w:r w:rsidR="00E122E4">
        <w:rPr>
          <w:rFonts w:eastAsiaTheme="minorEastAsia"/>
        </w:rPr>
        <w:t>the per-token mass is computed as:</w:t>
      </w:r>
    </w:p>
    <w:p w14:paraId="5BCFB9F5" w14:textId="77777777" w:rsidR="00E122E4" w:rsidRDefault="00E122E4" w:rsidP="00863584">
      <w:pPr>
        <w:rPr>
          <w:rFonts w:eastAsiaTheme="minorEastAsia"/>
        </w:rPr>
      </w:pPr>
    </w:p>
    <w:p w14:paraId="4B1DC5B1" w14:textId="77777777" w:rsidR="00E122E4" w:rsidRPr="00E122E4" w:rsidRDefault="00E122E4" w:rsidP="00863584">
      <w:pPr>
        <w:rPr>
          <w:rFonts w:ascii="Consolas" w:eastAsiaTheme="minorEastAsia" w:hAnsi="Consolas" w:cs="Consolas"/>
          <w:sz w:val="17"/>
          <w:szCs w:val="17"/>
        </w:rPr>
      </w:pPr>
      <w:r w:rsidRPr="00E122E4">
        <w:rPr>
          <w:rFonts w:ascii="Consolas" w:eastAsiaTheme="minorEastAsia" w:hAnsi="Consolas" w:cs="Consolas"/>
          <w:sz w:val="17"/>
          <w:szCs w:val="17"/>
        </w:rPr>
        <w:t>m(x, t) = softplus(raw_m_bias + alpha * surprisal[x_t]) + 1e-3</w:t>
      </w:r>
    </w:p>
    <w:p w14:paraId="50360166" w14:textId="77777777" w:rsidR="00E122E4" w:rsidRDefault="00E122E4" w:rsidP="00863584">
      <w:pPr>
        <w:rPr>
          <w:rFonts w:eastAsiaTheme="minorEastAsia"/>
        </w:rPr>
      </w:pPr>
    </w:p>
    <w:p w14:paraId="42E087B0" w14:textId="77777777" w:rsidR="00E122E4" w:rsidRDefault="00E122E4" w:rsidP="00863584">
      <w:pPr>
        <w:rPr>
          <w:rFonts w:eastAsiaTheme="minorEastAsia"/>
        </w:rPr>
      </w:pPr>
      <w:r>
        <w:rPr>
          <w:rFonts w:eastAsiaTheme="minorEastAsia"/>
        </w:rPr>
        <w:t xml:space="preserve">where alpha = softplus(raw_logfreq_alpha) and surprisal[x_t] is precomputed log-frequency surprisal for token type x_t. </w:t>
      </w:r>
      <w:r w:rsidR="00E518F1">
        <w:rPr>
          <w:rFonts w:eastAsiaTheme="minorEastAsia"/>
        </w:rPr>
        <w:t xml:space="preserve">Rare tokens get higher surprisal, and if alpha is positive, they get heavier mass – making them change direction more slowly in the Verlet dynamics (physical intuition: rare tokens are harder to push around). </w:t>
      </w:r>
    </w:p>
    <w:p w14:paraId="3AC2386A" w14:textId="77777777" w:rsidR="00E122E4" w:rsidRPr="00863584" w:rsidRDefault="00E122E4" w:rsidP="00863584">
      <w:pPr>
        <w:rPr>
          <w:rFonts w:eastAsiaTheme="minorEastAsia"/>
        </w:rPr>
      </w:pPr>
    </w:p>
    <w:p w14:paraId="47FB0D4E" w14:textId="77777777" w:rsidR="00863584" w:rsidRDefault="00E518F1" w:rsidP="00F5632F">
      <w:pPr>
        <w:rPr>
          <w:rFonts w:eastAsiaTheme="minorEastAsia"/>
        </w:rPr>
      </w:pPr>
      <w:r>
        <w:rPr>
          <w:rFonts w:eastAsiaTheme="minorEastAsia"/>
        </w:rPr>
        <w:t xml:space="preserve">Both raw_m_bias and raw_logfreq_alpha have requires_grad=True, so they participate fully in the backward pass and receive gradient updates from AdamW like every other parameter. </w:t>
      </w:r>
    </w:p>
    <w:p w14:paraId="053A382A" w14:textId="77777777" w:rsidR="00B92BA0" w:rsidRDefault="00B92BA0" w:rsidP="00F5632F">
      <w:pPr>
        <w:rPr>
          <w:rFonts w:eastAsiaTheme="minorEastAsia"/>
        </w:rPr>
      </w:pPr>
    </w:p>
    <w:p w14:paraId="25895A08" w14:textId="77777777" w:rsidR="00E518F1" w:rsidRDefault="000264BB" w:rsidP="00F5632F">
      <w:pPr>
        <w:rPr>
          <w:rFonts w:eastAsiaTheme="minorEastAsia"/>
        </w:rPr>
      </w:pPr>
      <w:r>
        <w:rPr>
          <w:rFonts w:eastAsiaTheme="minorEastAsia"/>
        </w:rPr>
        <w:t>What the gradient “means” for mass-</w:t>
      </w:r>
    </w:p>
    <w:p w14:paraId="214FB648" w14:textId="77777777" w:rsidR="000264BB" w:rsidRDefault="000264BB" w:rsidP="00F5632F">
      <w:pPr>
        <w:rPr>
          <w:rFonts w:eastAsiaTheme="minorEastAsia"/>
        </w:rPr>
      </w:pPr>
    </w:p>
    <w:p w14:paraId="0A10A5AD" w14:textId="77777777" w:rsidR="000264BB" w:rsidRDefault="000264BB" w:rsidP="00F5632F">
      <w:pPr>
        <w:rPr>
          <w:rFonts w:eastAsiaTheme="minorEastAsia"/>
        </w:rPr>
      </w:pPr>
      <w:r>
        <w:rPr>
          <w:rFonts w:eastAsiaTheme="minorEastAsia"/>
        </w:rPr>
        <w:t xml:space="preserve">The mass </w:t>
      </w:r>
      <m:oMath>
        <m:r>
          <m:rPr>
            <m:scr m:val="fraktur"/>
          </m:rPr>
          <w:rPr>
            <w:rFonts w:ascii="Cambria Math" w:eastAsiaTheme="minorEastAsia" w:hAnsi="Cambria Math"/>
          </w:rPr>
          <m:t>m</m:t>
        </m:r>
      </m:oMath>
      <w:r>
        <w:rPr>
          <w:rFonts w:eastAsiaTheme="minorEastAsia"/>
        </w:rPr>
        <w:t xml:space="preserve"> enters the Verlet update as the denominator of the acceleration. Schematically,</w:t>
      </w:r>
    </w:p>
    <w:p w14:paraId="3BB09632" w14:textId="77777777" w:rsidR="000264BB" w:rsidRDefault="000264BB" w:rsidP="00F5632F">
      <w:pPr>
        <w:rPr>
          <w:rFonts w:eastAsiaTheme="minorEastAsia"/>
        </w:rPr>
      </w:pPr>
    </w:p>
    <w:p w14:paraId="007EC66C" w14:textId="77777777" w:rsidR="000264BB" w:rsidRDefault="00000000" w:rsidP="00F5632F">
      <w:pPr>
        <w:rPr>
          <w:rFonts w:eastAsiaTheme="minorEastAsia"/>
        </w:rPr>
      </w:pPr>
      <m:oMathPara>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p>
              <m:r>
                <m:rPr>
                  <m:sty m:val="p"/>
                </m:rPr>
                <w:rPr>
                  <w:rFonts w:ascii="Cambria Math" w:hAnsi="Cambria Math"/>
                </w:rPr>
                <m:t>+</m:t>
              </m:r>
              <m:r>
                <w:rPr>
                  <w:rFonts w:ascii="Cambria Math" w:hAnsi="Cambria Math"/>
                </w:rPr>
                <m:t>vΔt</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f>
                <m:fPr>
                  <m:ctrlPr>
                    <w:rPr>
                      <w:rFonts w:ascii="Cambria Math" w:hAnsi="Cambria Math"/>
                    </w:rPr>
                  </m:ctrlPr>
                </m:fPr>
                <m:num>
                  <m:box>
                    <m:boxPr>
                      <m:ctrlPr>
                        <w:rPr>
                          <w:rFonts w:ascii="Cambria Math" w:hAnsi="Cambria Math"/>
                        </w:rPr>
                      </m:ctrlPr>
                    </m:boxPr>
                    <m:e>
                      <m:r>
                        <w:rPr>
                          <w:rFonts w:ascii="Cambria Math" w:hAnsi="Cambria Math"/>
                        </w:rPr>
                        <m:t>F</m:t>
                      </m:r>
                    </m:e>
                  </m:box>
                </m:num>
                <m:den>
                  <m:box>
                    <m:boxPr>
                      <m:ctrlPr>
                        <w:rPr>
                          <w:rFonts w:ascii="Cambria Math" w:hAnsi="Cambria Math"/>
                        </w:rPr>
                      </m:ctrlPr>
                    </m:boxPr>
                    <m:e>
                      <m:r>
                        <w:rPr>
                          <w:rFonts w:ascii="Cambria Math" w:hAnsi="Cambria Math"/>
                        </w:rPr>
                        <m:t>m</m:t>
                      </m:r>
                    </m:e>
                  </m:box>
                </m:den>
              </m:f>
              <m:r>
                <m:rPr>
                  <m:sty m:val="p"/>
                </m:rPr>
                <w:rPr>
                  <w:rFonts w:ascii="Cambria Math" w:hAnsi="Cambria Math"/>
                </w:rPr>
                <m:t>(</m:t>
              </m:r>
              <m:r>
                <w:rPr>
                  <w:rFonts w:ascii="Cambria Math" w:hAnsi="Cambria Math"/>
                </w:rPr>
                <m:t>Δt</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e>
          </m:box>
        </m:oMath>
      </m:oMathPara>
    </w:p>
    <w:p w14:paraId="1A8ED0F0" w14:textId="77777777" w:rsidR="000264BB" w:rsidRDefault="000264BB" w:rsidP="00F5632F">
      <w:pPr>
        <w:rPr>
          <w:rFonts w:eastAsiaTheme="minorEastAsia"/>
        </w:rPr>
      </w:pPr>
    </w:p>
    <w:p w14:paraId="73F24766" w14:textId="77777777" w:rsidR="000264BB" w:rsidRDefault="000264BB" w:rsidP="00F5632F">
      <w:pPr>
        <w:rPr>
          <w:rFonts w:eastAsiaTheme="minorEastAsia" w:cs="Consolas"/>
          <w:iCs/>
          <w:szCs w:val="19"/>
        </w:rPr>
      </w:pPr>
      <w:r>
        <w:lastRenderedPageBreak/>
        <w:t xml:space="preserve">So </w:t>
      </w:r>
      <m:oMath>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m</m:t>
            </m:r>
          </m:e>
        </m:box>
      </m:oMath>
      <w:r>
        <w:t xml:space="preserve"> tells the optimizer – “if you made this token heavier (harder to move), would the loss go up or down?” If a rare token is being pushed too aggressively by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ϕ</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forces and overshooting, the gradient will push its mass upward. If a token is too sluggish and not reaching a good attractor, the gradient pushes mass downward. Here </w:t>
      </w:r>
      <m:oMath>
        <m:box>
          <m:boxPr>
            <m:ctrlPr>
              <w:rPr>
                <w:rFonts w:ascii="Cambria Math" w:hAnsi="Cambria Math"/>
              </w:rPr>
            </m:ctrlPr>
          </m:boxPr>
          <m:e>
            <m:r>
              <w:rPr>
                <w:rFonts w:ascii="Cambria Math" w:hAnsi="Cambria Math"/>
              </w:rPr>
              <m:t>F</m:t>
            </m:r>
          </m:e>
        </m:box>
      </m:oMath>
      <w:r>
        <w:t xml:space="preserve"> is the force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ϕ</m:t>
                    </m:r>
                  </m:e>
                </m:box>
              </m:sub>
            </m:sSub>
            <m:r>
              <m:rPr>
                <m:sty m:val="p"/>
              </m:rPr>
              <w:rPr>
                <w:rFonts w:ascii="Cambria Math" w:hAnsi="Cambria Math"/>
              </w:rPr>
              <m:t>)</m:t>
            </m:r>
          </m:e>
        </m:box>
      </m:oMath>
      <w:r>
        <w:t>; the displayed Verlet step is schematic (the production integrator is velocity-Verlet / BAOAB, not this one-line map).</w:t>
      </w:r>
    </w:p>
    <w:p w14:paraId="30AA12F2" w14:textId="77777777" w:rsidR="000264BB" w:rsidRDefault="000264BB" w:rsidP="00F5632F">
      <w:pPr>
        <w:rPr>
          <w:rFonts w:eastAsiaTheme="minorEastAsia" w:cs="Consolas"/>
          <w:iCs/>
          <w:szCs w:val="19"/>
        </w:rPr>
      </w:pPr>
    </w:p>
    <w:p w14:paraId="07A5ABF4" w14:textId="77777777" w:rsidR="000264BB" w:rsidRDefault="00F91513" w:rsidP="00F5632F">
      <w:pPr>
        <w:rPr>
          <w:rFonts w:eastAsiaTheme="minorEastAsia"/>
        </w:rPr>
      </w:pPr>
      <w:r>
        <w:rPr>
          <w:rFonts w:eastAsiaTheme="minorEastAsia" w:cs="Consolas"/>
          <w:iCs/>
          <w:szCs w:val="19"/>
        </w:rPr>
        <w:t xml:space="preserve">However, note that </w:t>
      </w:r>
      <w:r w:rsidRPr="00F91513">
        <w:rPr>
          <w:rFonts w:ascii="Consolas" w:eastAsiaTheme="minorEastAsia" w:hAnsi="Consolas" w:cs="Consolas"/>
          <w:iCs/>
          <w:sz w:val="17"/>
          <w:szCs w:val="17"/>
        </w:rPr>
        <w:t>gamma</w:t>
      </w:r>
      <w:r>
        <w:rPr>
          <w:rFonts w:eastAsiaTheme="minorEastAsia" w:cs="Consolas"/>
          <w:iCs/>
          <w:szCs w:val="19"/>
        </w:rPr>
        <w:t xml:space="preserve"> (the damping coefficient) </w:t>
      </w:r>
      <w:r w:rsidR="0077690E">
        <w:rPr>
          <w:rFonts w:eastAsiaTheme="minorEastAsia" w:cs="Consolas"/>
          <w:iCs/>
          <w:szCs w:val="19"/>
        </w:rPr>
        <w:t xml:space="preserve">is controlled by the same </w:t>
      </w:r>
      <w:r w:rsidR="0077690E" w:rsidRPr="0077690E">
        <w:rPr>
          <w:rFonts w:ascii="Consolas" w:eastAsiaTheme="minorEastAsia" w:hAnsi="Consolas" w:cs="Consolas"/>
          <w:iCs/>
          <w:sz w:val="17"/>
          <w:szCs w:val="17"/>
        </w:rPr>
        <w:t>learn_mgamma</w:t>
      </w:r>
      <w:r w:rsidR="0077690E">
        <w:rPr>
          <w:rFonts w:eastAsiaTheme="minorEastAsia" w:cs="Consolas"/>
          <w:iCs/>
          <w:szCs w:val="19"/>
        </w:rPr>
        <w:t xml:space="preserve"> flag. In the current experiment, the logs show gamma=0.300 is constant – but that’s because it converged to that value, not because it is frozen. Both mass and gamma are free to learn. </w:t>
      </w:r>
    </w:p>
    <w:p w14:paraId="79C2618A" w14:textId="77777777" w:rsidR="00F509E9" w:rsidRDefault="00F509E9" w:rsidP="00F5632F">
      <w:pPr>
        <w:pBdr>
          <w:bottom w:val="single" w:sz="6" w:space="1" w:color="auto"/>
        </w:pBdr>
        <w:rPr>
          <w:rFonts w:eastAsiaTheme="minorEastAsia"/>
        </w:rPr>
      </w:pPr>
    </w:p>
    <w:p w14:paraId="3124EA4A" w14:textId="77777777" w:rsidR="00F91513" w:rsidRDefault="00F91513" w:rsidP="00F5632F">
      <w:pPr>
        <w:rPr>
          <w:rFonts w:eastAsiaTheme="minorEastAsia"/>
        </w:rPr>
      </w:pPr>
    </w:p>
    <w:p w14:paraId="703CD5CC" w14:textId="77777777" w:rsidR="00F5632F" w:rsidRDefault="00F5632F">
      <w:pPr>
        <w:rPr>
          <w:rFonts w:eastAsiaTheme="minorEastAsia"/>
        </w:rPr>
      </w:pPr>
    </w:p>
    <w:p w14:paraId="68E2E6CC" w14:textId="77777777" w:rsidR="00F5632F" w:rsidRDefault="00F5632F"/>
    <w:p w14:paraId="63BD0B54" w14:textId="77777777" w:rsidR="00455F66" w:rsidRDefault="00000000">
      <w:pPr>
        <w:pStyle w:val="Heading3"/>
        <w:spacing w:after="120"/>
      </w:pPr>
      <w:bookmarkStart w:id="70" w:name="_Toc240119418"/>
      <w:r>
        <w:rPr>
          <w:rFonts w:ascii="Calibri" w:hAnsi="Calibri"/>
          <w:sz w:val="19"/>
        </w:rPr>
        <w:t>The conceptual point</w:t>
      </w:r>
      <w:bookmarkEnd w:id="70"/>
    </w:p>
    <w:p w14:paraId="666892F2" w14:textId="77777777" w:rsidR="00455F66" w:rsidRDefault="00000000">
      <w:pPr>
        <w:spacing w:after="120"/>
      </w:pPr>
      <w:r>
        <w:rPr>
          <w:rFonts w:ascii="Calibri" w:hAnsi="Calibri"/>
        </w:rPr>
        <w:t>The force the integrator actually follows is the sum of two terms. In code (model_parf_sparse.py, lines 456–457):</w:t>
      </w:r>
    </w:p>
    <w:p w14:paraId="54DA2A4D" w14:textId="77777777" w:rsidR="00455F66" w:rsidRDefault="00000000">
      <w:pPr>
        <w:spacing w:after="120"/>
        <w:ind w:left="360"/>
      </w:pPr>
      <w:r>
        <w:rPr>
          <w:rFonts w:ascii="Consolas" w:hAnsi="Consolas"/>
          <w:sz w:val="17"/>
        </w:rPr>
        <w:t>if _has_analytical_grad(self.V_theta):</w:t>
      </w:r>
      <w:r>
        <w:rPr>
          <w:rFonts w:ascii="Consolas" w:hAnsi="Consolas"/>
          <w:sz w:val="17"/>
        </w:rPr>
        <w:br/>
        <w:t xml:space="preserve">    f_theta = -self.V_theta.analytical_grad(xi_now, h_in)  </w:t>
      </w:r>
      <w:r w:rsidRPr="00B75822">
        <w:rPr>
          <w:rFonts w:ascii="Consolas" w:hAnsi="Consolas"/>
          <w:color w:val="3A7C22" w:themeColor="accent6" w:themeShade="BF"/>
          <w:sz w:val="17"/>
        </w:rPr>
        <w:t># (B, T, d)</w:t>
      </w:r>
    </w:p>
    <w:p w14:paraId="5095A463"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ϕ</m:t>
                  </m:r>
                </m:sub>
              </m:sSub>
            </m:e>
          </m:box>
        </m:oMath>
      </m:oMathPara>
    </w:p>
    <w:p w14:paraId="17D050B2" w14:textId="77777777" w:rsidR="00455F66" w:rsidRDefault="00000000">
      <w:pPr>
        <w:spacing w:after="120"/>
      </w:pPr>
      <w:r>
        <w:rPr>
          <w:rFonts w:ascii="Calibri" w:hAnsi="Calibri"/>
        </w:rPr>
        <w:t xml:space="preserve">The trajectory the loss is computed on depends on: where </w:t>
      </w:r>
      <m:oMath>
        <m:box>
          <m:boxPr>
            <m:ctrlPr>
              <w:rPr>
                <w:rFonts w:ascii="Cambria Math" w:hAnsi="Cambria Math"/>
              </w:rPr>
            </m:ctrlPr>
          </m:boxPr>
          <m:e>
            <m:r>
              <w:rPr>
                <w:rFonts w:ascii="Cambria Math" w:hAnsi="Cambria Math"/>
              </w:rPr>
              <m:t>E</m:t>
            </m:r>
          </m:e>
        </m:box>
      </m:oMath>
      <w:r>
        <w:rPr>
          <w:rFonts w:ascii="Calibri" w:hAnsi="Calibri"/>
        </w:rPr>
        <w:t xml:space="preserve"> places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what context </w:t>
      </w:r>
      <m:oMath>
        <m:box>
          <m:boxPr>
            <m:ctrlPr>
              <w:rPr>
                <w:rFonts w:ascii="Cambria Math" w:hAnsi="Cambria Math"/>
              </w:rPr>
            </m:ctrlPr>
          </m:boxPr>
          <m:e>
            <m:r>
              <w:rPr>
                <w:rFonts w:ascii="Cambria Math" w:hAnsi="Cambria Math"/>
              </w:rPr>
              <m:t>ξ</m:t>
            </m:r>
          </m:e>
        </m:box>
      </m:oMath>
      <w:r>
        <w:rPr>
          <w:rFonts w:ascii="Calibri" w:hAnsi="Calibri"/>
        </w:rPr>
        <w:t xml:space="preserve"> (learned EMAs) feeds the wells; the pairwise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forces; which Fock particles get spawned or destroyed; the mass/damping parameters that set the integration; and the tied </w:t>
      </w:r>
      <m:oMath>
        <m:box>
          <m:boxPr>
            <m:ctrlPr>
              <w:rPr>
                <w:rFonts w:ascii="Cambria Math" w:hAnsi="Cambria Math"/>
              </w:rPr>
            </m:ctrlPr>
          </m:boxPr>
          <m:e>
            <m:r>
              <w:rPr>
                <w:rFonts w:ascii="Cambria Math" w:hAnsi="Cambria Math"/>
              </w:rPr>
              <m:t>E</m:t>
            </m:r>
          </m:e>
        </m:box>
      </m:oMath>
      <w:r>
        <w:rPr>
          <w:rFonts w:ascii="Calibri" w:hAnsi="Calibri"/>
        </w:rPr>
        <w:t xml:space="preserve"> that decodes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Gradients from the NTP loss flow back through all of these components.</w:t>
      </w:r>
    </w:p>
    <w:p w14:paraId="2DB47144" w14:textId="77777777" w:rsidR="00455F66" w:rsidRDefault="00000000">
      <w:pPr>
        <w:spacing w:after="120"/>
      </w:pPr>
      <w:r>
        <w:rPr>
          <w:rFonts w:ascii="Calibri" w:hAnsi="Calibri"/>
        </w:rPr>
        <w:t xml:space="preserve">The semantic energy landscape is the distinctive and interpretable component that defines single-particle attractor basins. It is not the sole locus of learning. The model would “learn only through the wells” only if everything else was frozen — specifically the embedding,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Fock gates, </w:t>
      </w:r>
      <m:oMath>
        <m:box>
          <m:boxPr>
            <m:ctrlPr>
              <w:rPr>
                <w:rFonts w:ascii="Cambria Math" w:hAnsi="Cambria Math"/>
              </w:rPr>
            </m:ctrlPr>
          </m:boxPr>
          <m:e>
            <m:r>
              <w:rPr>
                <w:rFonts w:ascii="Cambria Math" w:hAnsi="Cambria Math"/>
              </w:rPr>
              <m:t>ξ</m:t>
            </m:r>
          </m:e>
        </m:box>
      </m:oMath>
      <w:r>
        <w:rPr>
          <w:rFonts w:ascii="Calibri" w:hAnsi="Calibri"/>
        </w:rPr>
        <w:t>, and mass/</w:t>
      </w:r>
      <m:oMath>
        <m:box>
          <m:boxPr>
            <m:ctrlPr>
              <w:rPr>
                <w:rFonts w:ascii="Cambria Math" w:hAnsi="Cambria Math"/>
              </w:rPr>
            </m:ctrlPr>
          </m:boxPr>
          <m:e>
            <m:r>
              <w:rPr>
                <w:rFonts w:ascii="Cambria Math" w:hAnsi="Cambria Math"/>
              </w:rPr>
              <m:t>γ</m:t>
            </m:r>
          </m:e>
        </m:box>
      </m:oMath>
      <w:r>
        <w:rPr>
          <w:rFonts w:ascii="Calibri" w:hAnsi="Calibri"/>
        </w:rPr>
        <w:t>. The fock_gaussian_sarf phase-5 configuration does not freeze these elements.</w:t>
      </w:r>
    </w:p>
    <w:p w14:paraId="7E6A04CE" w14:textId="77777777" w:rsidR="00D5238E" w:rsidRDefault="00D5238E"/>
    <w:p w14:paraId="44476180" w14:textId="77777777" w:rsidR="00E32F8A" w:rsidRDefault="00E32F8A" w:rsidP="00E32F8A">
      <w:pPr>
        <w:pStyle w:val="Heading2"/>
      </w:pPr>
      <w:bookmarkStart w:id="71" w:name="_Toc240119419"/>
      <w:r>
        <w:t>Note on Why Tied LM Head worsens the Perplexity score</w:t>
      </w:r>
      <w:bookmarkEnd w:id="71"/>
    </w:p>
    <w:p w14:paraId="01743F59" w14:textId="77777777" w:rsidR="00E32F8A" w:rsidRDefault="00E32F8A" w:rsidP="00E32F8A"/>
    <w:p w14:paraId="63AEF69F" w14:textId="77777777" w:rsidR="00E04FD8" w:rsidRDefault="00E04FD8" w:rsidP="00E32F8A">
      <w:r w:rsidRPr="00E04FD8">
        <w:rPr>
          <w:b/>
          <w:bCs/>
        </w:rPr>
        <w:t>The Problem</w:t>
      </w:r>
      <w:r>
        <w:t>: Tied head forces the dynamics to encode the frequency prior</w:t>
      </w:r>
    </w:p>
    <w:p w14:paraId="4A3821EE" w14:textId="77777777" w:rsidR="00E04FD8" w:rsidRDefault="00E04FD8" w:rsidP="00E32F8A"/>
    <w:p w14:paraId="667A898A" w14:textId="77777777" w:rsidR="00E04FD8" w:rsidRDefault="00CB35EB" w:rsidP="00E32F8A">
      <w:r>
        <w:t xml:space="preserve">For details refer to </w:t>
      </w:r>
      <w:r w:rsidRPr="00083CA0">
        <w:rPr>
          <w:b/>
          <w:bCs/>
        </w:rPr>
        <w:t>D0</w:t>
      </w:r>
      <w:r>
        <w:t xml:space="preserve"> free-diagnostics discussed in Section 8 and proposed fix presented in Section 9 of [</w:t>
      </w:r>
      <w:r w:rsidR="00A67B18">
        <w:t>7</w:t>
      </w:r>
      <w:r>
        <w:t>].</w:t>
      </w:r>
    </w:p>
    <w:p w14:paraId="05FB6A6C" w14:textId="77777777" w:rsidR="00E04FD8" w:rsidRDefault="00CB35EB" w:rsidP="00E32F8A">
      <w:r>
        <w:t xml:space="preserve">So with tied embeddings </w:t>
      </w:r>
      <w:r w:rsidR="00DD511F">
        <w:t xml:space="preserve">the logit for token </w:t>
      </w:r>
      <m:oMath>
        <m:r>
          <w:rPr>
            <w:rFonts w:ascii="Cambria Math" w:hAnsi="Cambria Math"/>
          </w:rPr>
          <m:t>v</m:t>
        </m:r>
      </m:oMath>
      <w:r w:rsidR="00DD511F">
        <w:t xml:space="preserve"> at position </w:t>
      </w:r>
      <m:oMath>
        <m:r>
          <w:rPr>
            <w:rFonts w:ascii="Cambria Math" w:hAnsi="Cambria Math"/>
          </w:rPr>
          <m:t>t</m:t>
        </m:r>
      </m:oMath>
      <w:r w:rsidR="00DD511F">
        <w:t xml:space="preserve"> is:</w:t>
      </w:r>
    </w:p>
    <w:p w14:paraId="192E6B4E" w14:textId="77777777" w:rsidR="00DD511F" w:rsidRDefault="00DD511F" w:rsidP="00E32F8A"/>
    <w:p w14:paraId="24D76069" w14:textId="77777777" w:rsidR="00DD511F" w:rsidRDefault="00000000" w:rsidP="00E32F8A">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877E09">
        <w:rPr>
          <w:rFonts w:eastAsiaTheme="minorEastAsia"/>
        </w:rPr>
        <w:t xml:space="preserve"> </w:t>
      </w:r>
    </w:p>
    <w:p w14:paraId="759A6426" w14:textId="77777777" w:rsidR="00877E09" w:rsidRDefault="004B6DB0" w:rsidP="00E32F8A">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oMath>
      <w:r>
        <w:rPr>
          <w:rFonts w:eastAsiaTheme="minorEastAsia"/>
        </w:rPr>
        <w:t xml:space="preserve"> is the same row of the embedding matrix </w:t>
      </w:r>
      <m:oMath>
        <m:r>
          <w:rPr>
            <w:rFonts w:ascii="Cambria Math" w:eastAsiaTheme="minorEastAsia" w:hAnsi="Cambria Math"/>
          </w:rPr>
          <m:t>E</m:t>
        </m:r>
      </m:oMath>
      <w:r>
        <w:rPr>
          <w:rFonts w:eastAsiaTheme="minorEastAsia"/>
        </w:rPr>
        <w:t xml:space="preserve"> used for </w:t>
      </w:r>
      <w:r w:rsidRPr="00083CA0">
        <w:rPr>
          <w:rFonts w:eastAsiaTheme="minorEastAsia"/>
          <w:i/>
          <w:iCs/>
        </w:rPr>
        <w:t>both</w:t>
      </w:r>
      <w:r>
        <w:rPr>
          <w:rFonts w:eastAsiaTheme="minorEastAsia"/>
        </w:rPr>
        <w:t xml:space="preserve"> input lookup and output scoring. </w:t>
      </w:r>
    </w:p>
    <w:p w14:paraId="3F00F500" w14:textId="77777777" w:rsidR="00CB35EB" w:rsidRDefault="005B31DF" w:rsidP="00E32F8A">
      <w:r>
        <w:t>This creates two compounding problems</w:t>
      </w:r>
    </w:p>
    <w:p w14:paraId="22C3C9C2" w14:textId="77777777" w:rsidR="005B31DF" w:rsidRDefault="005B31DF" w:rsidP="00E32F8A"/>
    <w:p w14:paraId="4C1FD943" w14:textId="77777777" w:rsidR="005B31DF" w:rsidRDefault="005B31DF" w:rsidP="00E32F8A"/>
    <w:p w14:paraId="7CDECB9C" w14:textId="77777777" w:rsidR="00455F66" w:rsidRDefault="00000000">
      <w:pPr>
        <w:spacing w:after="120"/>
      </w:pPr>
      <w:r>
        <w:rPr>
          <w:rFonts w:ascii="Calibri" w:hAnsi="Calibri"/>
        </w:rPr>
        <w:t xml:space="preserve">This is about the </w:t>
      </w:r>
      <w:r w:rsidRPr="00217FB7">
        <w:rPr>
          <w:rFonts w:ascii="Calibri" w:hAnsi="Calibri"/>
          <w:b/>
          <w:bCs/>
        </w:rPr>
        <w:t>D0.4</w:t>
      </w:r>
      <w:r>
        <w:rPr>
          <w:rFonts w:ascii="Calibri" w:hAnsi="Calibri"/>
        </w:rPr>
        <w:t xml:space="preserve"> long-tail diagnostic finding. With tied embeddings (</w:t>
      </w:r>
      <w:r w:rsidRPr="00217FB7">
        <w:rPr>
          <w:rFonts w:ascii="Consolas" w:hAnsi="Consolas" w:cs="Consolas"/>
          <w:sz w:val="17"/>
          <w:szCs w:val="17"/>
        </w:rPr>
        <w:t>TIE_EMBEDDINGS=True</w:t>
      </w:r>
      <w:r>
        <w:rPr>
          <w:rFonts w:ascii="Calibri" w:hAnsi="Calibri"/>
        </w:rPr>
        <w:t xml:space="preserve">), the logit for token </w:t>
      </w:r>
      <m:oMath>
        <m:box>
          <m:boxPr>
            <m:ctrlPr>
              <w:rPr>
                <w:rFonts w:ascii="Cambria Math" w:hAnsi="Cambria Math"/>
              </w:rPr>
            </m:ctrlPr>
          </m:boxPr>
          <m:e>
            <m:r>
              <w:rPr>
                <w:rFonts w:ascii="Cambria Math" w:hAnsi="Cambria Math"/>
              </w:rPr>
              <m:t>v</m:t>
            </m:r>
          </m:e>
        </m:box>
      </m:oMath>
      <w:r>
        <w:rPr>
          <w:rFonts w:ascii="Calibri" w:hAnsi="Calibri"/>
        </w:rPr>
        <w:t xml:space="preserve"> at position </w:t>
      </w:r>
      <m:oMath>
        <m:box>
          <m:boxPr>
            <m:ctrlPr>
              <w:rPr>
                <w:rFonts w:ascii="Cambria Math" w:hAnsi="Cambria Math"/>
              </w:rPr>
            </m:ctrlPr>
          </m:boxPr>
          <m:e>
            <m:r>
              <w:rPr>
                <w:rFonts w:ascii="Cambria Math" w:hAnsi="Cambria Math"/>
              </w:rPr>
              <m:t>t</m:t>
            </m:r>
          </m:e>
        </m:box>
      </m:oMath>
      <w:r>
        <w:rPr>
          <w:rFonts w:ascii="Calibri" w:hAnsi="Calibri"/>
        </w:rPr>
        <w:t xml:space="preserve"> is</w:t>
      </w:r>
    </w:p>
    <w:p w14:paraId="0A360B92"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m:oMathPara>
    </w:p>
    <w:p w14:paraId="5666A918"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the same row of the embedding matrix </w:t>
      </w:r>
      <m:oMath>
        <m:box>
          <m:boxPr>
            <m:ctrlPr>
              <w:rPr>
                <w:rFonts w:ascii="Cambria Math" w:hAnsi="Cambria Math"/>
              </w:rPr>
            </m:ctrlPr>
          </m:boxPr>
          <m:e>
            <m:r>
              <w:rPr>
                <w:rFonts w:ascii="Cambria Math" w:hAnsi="Cambria Math"/>
              </w:rPr>
              <m:t>E</m:t>
            </m:r>
          </m:e>
        </m:box>
      </m:oMath>
      <w:r>
        <w:rPr>
          <w:rFonts w:ascii="Calibri" w:hAnsi="Calibri"/>
        </w:rPr>
        <w:t xml:space="preserve"> used for both input lookup and output scoring, and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is the hidden state at the final layer.</w:t>
      </w:r>
    </w:p>
    <w:p w14:paraId="3B71DB61" w14:textId="77777777" w:rsidR="00455F66" w:rsidRDefault="00000000">
      <w:pPr>
        <w:pStyle w:val="Heading3"/>
        <w:spacing w:after="120"/>
      </w:pPr>
      <w:bookmarkStart w:id="72" w:name="_Toc240119420"/>
      <w:r>
        <w:rPr>
          <w:rFonts w:ascii="Calibri" w:hAnsi="Calibri"/>
          <w:sz w:val="19"/>
        </w:rPr>
        <w:lastRenderedPageBreak/>
        <w:t>The problem: tied head forces the dynamics to encode the frequency prior</w:t>
      </w:r>
      <w:bookmarkEnd w:id="72"/>
    </w:p>
    <w:p w14:paraId="19F9F407" w14:textId="77777777" w:rsidR="00455F66" w:rsidRDefault="00000000">
      <w:pPr>
        <w:spacing w:after="120"/>
      </w:pPr>
      <w:r>
        <w:rPr>
          <w:rFonts w:ascii="Calibri" w:hAnsi="Calibri"/>
        </w:rPr>
        <w:t>This creates two compounding problems:</w:t>
      </w:r>
    </w:p>
    <w:p w14:paraId="25137794" w14:textId="77777777" w:rsidR="00455F66" w:rsidRDefault="00000000">
      <w:pPr>
        <w:spacing w:after="120"/>
      </w:pPr>
      <w:r>
        <w:rPr>
          <w:rFonts w:ascii="Calibri" w:hAnsi="Calibri"/>
        </w:rPr>
        <w:t xml:space="preserve">1. Encoding the frequency prior in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predict frequent tokens as more likely than rare ones (even without context), the model must rotate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toward a “frequent-token direction” — the direction having a high dot product with the embeddings of frequent tokens. This conflicts with the direction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needs to encode semantic or contextual information. The model is forced into a compromise.</w:t>
      </w:r>
    </w:p>
    <w:p w14:paraId="76DF23BB" w14:textId="77777777" w:rsidR="00455F66" w:rsidRDefault="00000000">
      <w:pPr>
        <w:spacing w:after="120"/>
      </w:pPr>
      <w:r>
        <w:rPr>
          <w:rFonts w:ascii="Calibri" w:hAnsi="Calibri"/>
        </w:rPr>
        <w:t xml:space="preserve">2. Double duty for undertrained rare-token embeddings. Rare tokens appear infrequently, so their rows in </w:t>
      </w:r>
      <m:oMath>
        <m:box>
          <m:boxPr>
            <m:ctrlPr>
              <w:rPr>
                <w:rFonts w:ascii="Cambria Math" w:hAnsi="Cambria Math"/>
              </w:rPr>
            </m:ctrlPr>
          </m:boxPr>
          <m:e>
            <m:r>
              <w:rPr>
                <w:rFonts w:ascii="Cambria Math" w:hAnsi="Cambria Math"/>
              </w:rPr>
              <m:t>E</m:t>
            </m:r>
          </m:e>
        </m:box>
      </m:oMath>
      <w:r>
        <w:rPr>
          <w:rFonts w:ascii="Calibri" w:hAnsi="Calibri"/>
        </w:rPr>
        <w:t xml:space="preserve"> receive very few gradient updates. Because embeddings are tied, the same poorly trained vector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serve two roles: the input representation (when token </w:t>
      </w:r>
      <m:oMath>
        <m:box>
          <m:boxPr>
            <m:ctrlPr>
              <w:rPr>
                <w:rFonts w:ascii="Cambria Math" w:hAnsi="Cambria Math"/>
              </w:rPr>
            </m:ctrlPr>
          </m:boxPr>
          <m:e>
            <m:r>
              <w:rPr>
                <w:rFonts w:ascii="Cambria Math" w:hAnsi="Cambria Math"/>
              </w:rPr>
              <m:t>v</m:t>
            </m:r>
          </m:e>
        </m:box>
      </m:oMath>
      <w:r>
        <w:rPr>
          <w:rFonts w:ascii="Calibri" w:hAnsi="Calibri"/>
        </w:rPr>
        <w:t xml:space="preserve"> is in the input) and the scoring direction (when the model predicts </w:t>
      </w:r>
      <m:oMath>
        <m:box>
          <m:boxPr>
            <m:ctrlPr>
              <w:rPr>
                <w:rFonts w:ascii="Cambria Math" w:hAnsi="Cambria Math"/>
              </w:rPr>
            </m:ctrlPr>
          </m:boxPr>
          <m:e>
            <m:r>
              <w:rPr>
                <w:rFonts w:ascii="Cambria Math" w:hAnsi="Cambria Math"/>
              </w:rPr>
              <m:t>v</m:t>
            </m:r>
          </m:e>
        </m:box>
      </m:oMath>
      <w:r>
        <w:rPr>
          <w:rFonts w:ascii="Calibri" w:hAnsi="Calibri"/>
        </w:rPr>
        <w:t xml:space="preserve"> as output). Consequence: the model cannot distinguish a rare token </w:t>
      </w:r>
      <m:oMath>
        <m:box>
          <m:boxPr>
            <m:ctrlPr>
              <w:rPr>
                <w:rFonts w:ascii="Cambria Math" w:hAnsi="Cambria Math"/>
              </w:rPr>
            </m:ctrlPr>
          </m:boxPr>
          <m:e>
            <m:r>
              <w:rPr>
                <w:rFonts w:ascii="Cambria Math" w:hAnsi="Cambria Math"/>
              </w:rPr>
              <m:t>v</m:t>
            </m:r>
          </m:e>
        </m:box>
      </m:oMath>
      <w:r>
        <w:rPr>
          <w:rFonts w:ascii="Calibri" w:hAnsi="Calibri"/>
        </w:rPr>
        <w:t xml:space="preserve"> from a semantically different but equally rare token </w:t>
      </w:r>
      <m:oMath>
        <m:box>
          <m:boxPr>
            <m:ctrlPr>
              <w:rPr>
                <w:rFonts w:ascii="Cambria Math" w:hAnsi="Cambria Math"/>
              </w:rPr>
            </m:ctrlPr>
          </m:boxPr>
          <m:e>
            <m:r>
              <w:rPr>
                <w:rFonts w:ascii="Cambria Math" w:hAnsi="Cambria Math"/>
              </w:rPr>
              <m:t>u</m:t>
            </m:r>
          </m:e>
        </m:box>
      </m:oMath>
      <w:r>
        <w:rPr>
          <w:rFonts w:ascii="Calibri" w:hAnsi="Calibri"/>
        </w:rPr>
        <w:t xml:space="preserve"> within the output space.</w:t>
      </w:r>
    </w:p>
    <w:p w14:paraId="696ABB43" w14:textId="77777777" w:rsidR="00E32F8A" w:rsidRDefault="00E32F8A" w:rsidP="00E32F8A"/>
    <w:p w14:paraId="3E9EDCC5" w14:textId="77777777" w:rsidR="00455F66" w:rsidRDefault="00000000">
      <w:pPr>
        <w:pStyle w:val="Heading3"/>
        <w:spacing w:after="120"/>
      </w:pPr>
      <w:bookmarkStart w:id="73" w:name="_Toc240119421"/>
      <w:r>
        <w:rPr>
          <w:rFonts w:ascii="Calibri" w:hAnsi="Calibri"/>
          <w:sz w:val="19"/>
        </w:rPr>
        <w:t>D0.4 evidence</w:t>
      </w:r>
      <w:bookmarkEnd w:id="73"/>
    </w:p>
    <w:tbl>
      <w:tblPr>
        <w:tblStyle w:val="TableGrid"/>
        <w:tblW w:w="0" w:type="auto"/>
        <w:tblLook w:val="04A0" w:firstRow="1" w:lastRow="0" w:firstColumn="1" w:lastColumn="0" w:noHBand="0" w:noVBand="1"/>
      </w:tblPr>
      <w:tblGrid>
        <w:gridCol w:w="3117"/>
        <w:gridCol w:w="3116"/>
        <w:gridCol w:w="3117"/>
      </w:tblGrid>
      <w:tr w:rsidR="00455F66" w14:paraId="4424C85B" w14:textId="77777777">
        <w:tc>
          <w:tcPr>
            <w:tcW w:w="3120" w:type="dxa"/>
          </w:tcPr>
          <w:p w14:paraId="6F884CD4" w14:textId="77777777" w:rsidR="00455F66" w:rsidRDefault="00000000">
            <w:r>
              <w:rPr>
                <w:rFonts w:ascii="Calibri" w:hAnsi="Calibri"/>
                <w:b/>
                <w:sz w:val="17"/>
              </w:rPr>
              <w:t>Quintile</w:t>
            </w:r>
          </w:p>
        </w:tc>
        <w:tc>
          <w:tcPr>
            <w:tcW w:w="3120" w:type="dxa"/>
          </w:tcPr>
          <w:p w14:paraId="5AF843FF" w14:textId="77777777" w:rsidR="00455F66" w:rsidRDefault="00000000">
            <w:r>
              <w:rPr>
                <w:rFonts w:ascii="Calibri" w:hAnsi="Calibri"/>
                <w:b/>
                <w:sz w:val="17"/>
              </w:rPr>
              <w:t>Mean CE (nats)</w:t>
            </w:r>
          </w:p>
        </w:tc>
        <w:tc>
          <w:tcPr>
            <w:tcW w:w="3120" w:type="dxa"/>
          </w:tcPr>
          <w:p w14:paraId="01556588" w14:textId="77777777" w:rsidR="00455F66" w:rsidRDefault="00000000">
            <w:r>
              <w:rPr>
                <w:rFonts w:ascii="Calibri" w:hAnsi="Calibri"/>
                <w:b/>
                <w:sz w:val="17"/>
              </w:rPr>
              <w:t>Reading</w:t>
            </w:r>
          </w:p>
        </w:tc>
      </w:tr>
      <w:tr w:rsidR="00455F66" w14:paraId="2E08D6A8" w14:textId="77777777">
        <w:tc>
          <w:tcPr>
            <w:tcW w:w="3120" w:type="dxa"/>
          </w:tcPr>
          <w:p w14:paraId="52271C82" w14:textId="77777777" w:rsidR="00455F66" w:rsidRDefault="00000000">
            <w:r>
              <w:rPr>
                <w:rFonts w:ascii="Calibri" w:hAnsi="Calibri"/>
                <w:sz w:val="17"/>
              </w:rPr>
              <w:t>Q0 (rarest)</w:t>
            </w:r>
          </w:p>
        </w:tc>
        <w:tc>
          <w:tcPr>
            <w:tcW w:w="3120" w:type="dxa"/>
          </w:tcPr>
          <w:p w14:paraId="417D772D" w14:textId="77777777" w:rsidR="00455F66" w:rsidRDefault="00000000">
            <w:r>
              <w:rPr>
                <w:rFonts w:ascii="Calibri" w:hAnsi="Calibri"/>
                <w:sz w:val="17"/>
              </w:rPr>
              <w:t>13.16</w:t>
            </w:r>
          </w:p>
        </w:tc>
        <w:tc>
          <w:tcPr>
            <w:tcW w:w="3120" w:type="dxa"/>
          </w:tcPr>
          <w:p w14:paraId="0551CBEC" w14:textId="77777777" w:rsidR="00455F66" w:rsidRDefault="00000000">
            <w:r>
              <w:rPr>
                <w:rFonts w:ascii="Calibri" w:hAnsi="Calibri"/>
                <w:sz w:val="17"/>
              </w:rPr>
              <w:t>Worse than uniform (ln V = 10.83)</w:t>
            </w:r>
          </w:p>
        </w:tc>
      </w:tr>
      <w:tr w:rsidR="00455F66" w14:paraId="2D145EAB" w14:textId="77777777">
        <w:tc>
          <w:tcPr>
            <w:tcW w:w="3120" w:type="dxa"/>
          </w:tcPr>
          <w:p w14:paraId="241FAE2B" w14:textId="77777777" w:rsidR="00455F66" w:rsidRDefault="00000000">
            <w:r>
              <w:rPr>
                <w:rFonts w:ascii="Calibri" w:hAnsi="Calibri"/>
                <w:sz w:val="17"/>
              </w:rPr>
              <w:t>Q1</w:t>
            </w:r>
          </w:p>
        </w:tc>
        <w:tc>
          <w:tcPr>
            <w:tcW w:w="3120" w:type="dxa"/>
          </w:tcPr>
          <w:p w14:paraId="6E6977DE" w14:textId="77777777" w:rsidR="00455F66" w:rsidRDefault="00000000">
            <w:r>
              <w:rPr>
                <w:rFonts w:ascii="Calibri" w:hAnsi="Calibri"/>
                <w:sz w:val="17"/>
              </w:rPr>
              <w:t>11.49</w:t>
            </w:r>
          </w:p>
        </w:tc>
        <w:tc>
          <w:tcPr>
            <w:tcW w:w="3120" w:type="dxa"/>
          </w:tcPr>
          <w:p w14:paraId="5F286E17" w14:textId="77777777" w:rsidR="00455F66" w:rsidRDefault="00000000">
            <w:r>
              <w:rPr>
                <w:rFonts w:ascii="Calibri" w:hAnsi="Calibri"/>
                <w:sz w:val="17"/>
              </w:rPr>
              <w:t>Worse than uniform</w:t>
            </w:r>
          </w:p>
        </w:tc>
      </w:tr>
      <w:tr w:rsidR="00455F66" w14:paraId="7A803332" w14:textId="77777777">
        <w:tc>
          <w:tcPr>
            <w:tcW w:w="3120" w:type="dxa"/>
          </w:tcPr>
          <w:p w14:paraId="018098B2" w14:textId="77777777" w:rsidR="00455F66" w:rsidRDefault="00000000">
            <w:r>
              <w:rPr>
                <w:rFonts w:ascii="Calibri" w:hAnsi="Calibri"/>
                <w:sz w:val="17"/>
              </w:rPr>
              <w:t>Q2</w:t>
            </w:r>
          </w:p>
        </w:tc>
        <w:tc>
          <w:tcPr>
            <w:tcW w:w="3120" w:type="dxa"/>
          </w:tcPr>
          <w:p w14:paraId="3D6E9E96" w14:textId="77777777" w:rsidR="00455F66" w:rsidRDefault="00000000">
            <w:r>
              <w:rPr>
                <w:rFonts w:ascii="Calibri" w:hAnsi="Calibri"/>
                <w:sz w:val="17"/>
              </w:rPr>
              <w:t>10.69</w:t>
            </w:r>
          </w:p>
        </w:tc>
        <w:tc>
          <w:tcPr>
            <w:tcW w:w="3120" w:type="dxa"/>
          </w:tcPr>
          <w:p w14:paraId="57C6A3A1" w14:textId="77777777" w:rsidR="00455F66" w:rsidRDefault="00000000">
            <w:r>
              <w:rPr>
                <w:rFonts w:ascii="Calibri" w:hAnsi="Calibri"/>
                <w:sz w:val="17"/>
              </w:rPr>
              <w:t>~uniform</w:t>
            </w:r>
          </w:p>
        </w:tc>
      </w:tr>
      <w:tr w:rsidR="00455F66" w14:paraId="7F50D263" w14:textId="77777777">
        <w:tc>
          <w:tcPr>
            <w:tcW w:w="3120" w:type="dxa"/>
          </w:tcPr>
          <w:p w14:paraId="233911F5" w14:textId="77777777" w:rsidR="00455F66" w:rsidRDefault="00000000">
            <w:r>
              <w:rPr>
                <w:rFonts w:ascii="Calibri" w:hAnsi="Calibri"/>
                <w:sz w:val="17"/>
              </w:rPr>
              <w:t>Q3</w:t>
            </w:r>
          </w:p>
        </w:tc>
        <w:tc>
          <w:tcPr>
            <w:tcW w:w="3120" w:type="dxa"/>
          </w:tcPr>
          <w:p w14:paraId="5F72A32B" w14:textId="77777777" w:rsidR="00455F66" w:rsidRDefault="00000000">
            <w:r>
              <w:rPr>
                <w:rFonts w:ascii="Calibri" w:hAnsi="Calibri"/>
                <w:sz w:val="17"/>
              </w:rPr>
              <w:t>8.16</w:t>
            </w:r>
          </w:p>
        </w:tc>
        <w:tc>
          <w:tcPr>
            <w:tcW w:w="3120" w:type="dxa"/>
          </w:tcPr>
          <w:p w14:paraId="4BEA872E" w14:textId="77777777" w:rsidR="00455F66" w:rsidRDefault="00000000">
            <w:r>
              <w:rPr>
                <w:rFonts w:ascii="Calibri" w:hAnsi="Calibri"/>
                <w:sz w:val="17"/>
              </w:rPr>
              <w:t>Slightly better</w:t>
            </w:r>
          </w:p>
        </w:tc>
      </w:tr>
      <w:tr w:rsidR="00455F66" w14:paraId="50A3DB5A" w14:textId="77777777">
        <w:tc>
          <w:tcPr>
            <w:tcW w:w="3120" w:type="dxa"/>
          </w:tcPr>
          <w:p w14:paraId="5AA428A2" w14:textId="77777777" w:rsidR="00455F66" w:rsidRDefault="00000000">
            <w:r>
              <w:rPr>
                <w:rFonts w:ascii="Calibri" w:hAnsi="Calibri"/>
                <w:sz w:val="17"/>
              </w:rPr>
              <w:t>Q4 (most frequent)</w:t>
            </w:r>
          </w:p>
        </w:tc>
        <w:tc>
          <w:tcPr>
            <w:tcW w:w="3120" w:type="dxa"/>
          </w:tcPr>
          <w:p w14:paraId="66B7B4AD" w14:textId="77777777" w:rsidR="00455F66" w:rsidRDefault="00000000">
            <w:r>
              <w:rPr>
                <w:rFonts w:ascii="Calibri" w:hAnsi="Calibri"/>
                <w:sz w:val="17"/>
              </w:rPr>
              <w:t>4.54</w:t>
            </w:r>
          </w:p>
        </w:tc>
        <w:tc>
          <w:tcPr>
            <w:tcW w:w="3120" w:type="dxa"/>
          </w:tcPr>
          <w:p w14:paraId="309B4B48" w14:textId="77777777" w:rsidR="00455F66" w:rsidRDefault="00000000">
            <w:r>
              <w:rPr>
                <w:rFonts w:ascii="Calibri" w:hAnsi="Calibri"/>
                <w:sz w:val="17"/>
              </w:rPr>
              <w:t>Where all real learning lives</w:t>
            </w:r>
          </w:p>
        </w:tc>
      </w:tr>
    </w:tbl>
    <w:p w14:paraId="3922EF80" w14:textId="77777777" w:rsidR="00455F66" w:rsidRDefault="00455F66"/>
    <w:p w14:paraId="0C4AD93F" w14:textId="77777777" w:rsidR="00455F66" w:rsidRDefault="00000000">
      <w:pPr>
        <w:spacing w:after="120"/>
      </w:pPr>
      <w:r>
        <w:rPr>
          <w:rFonts w:ascii="Calibri" w:hAnsi="Calibri"/>
        </w:rPr>
        <w:t xml:space="preserve">Everything outside the top quintile is at or above uniform-prior loss — the model assigns rare targets less than </w:t>
      </w:r>
      <m:oMath>
        <m:box>
          <m:boxPr>
            <m:ctrlPr>
              <w:rPr>
                <w:rFonts w:ascii="Cambria Math" w:hAnsi="Cambria Math"/>
              </w:rPr>
            </m:ctrlPr>
          </m:boxPr>
          <m:e>
            <m:r>
              <m:rPr>
                <m:sty m:val="p"/>
              </m:rPr>
              <w:rPr>
                <w:rFonts w:ascii="Cambria Math" w:hAnsi="Cambria Math"/>
              </w:rPr>
              <m:t>1/</m:t>
            </m:r>
            <m:r>
              <w:rPr>
                <w:rFonts w:ascii="Cambria Math" w:hAnsi="Cambria Math"/>
              </w:rPr>
              <m:t>V</m:t>
            </m:r>
          </m:e>
        </m:box>
      </m:oMath>
      <w:r>
        <w:rPr>
          <w:rFonts w:ascii="Calibri" w:hAnsi="Calibri"/>
        </w:rPr>
        <w:t xml:space="preserve"> probability. The dynamics have learned something useful, but the tied head is destroying that signal for 80% of the vocabulary.</w:t>
      </w:r>
    </w:p>
    <w:p w14:paraId="2E7CEDE6" w14:textId="77777777" w:rsidR="00455F66" w:rsidRDefault="00000000">
      <w:pPr>
        <w:pStyle w:val="Heading3"/>
        <w:spacing w:after="120"/>
      </w:pPr>
      <w:bookmarkStart w:id="74" w:name="_Toc240119422"/>
      <w:r>
        <w:rPr>
          <w:rFonts w:ascii="Calibri" w:hAnsi="Calibri"/>
          <w:sz w:val="19"/>
        </w:rPr>
        <w:t>Why untying fixes it</w:t>
      </w:r>
      <w:bookmarkEnd w:id="74"/>
    </w:p>
    <w:p w14:paraId="09BF6A3F" w14:textId="77777777" w:rsidR="00455F66" w:rsidRDefault="00000000">
      <w:pPr>
        <w:spacing w:after="120"/>
      </w:pPr>
      <w:r>
        <w:rPr>
          <w:rFonts w:ascii="Calibri" w:hAnsi="Calibri"/>
        </w:rPr>
        <w:t xml:space="preserve">With TIE_EMBEDDINGS=False, the model allocates a separate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w:t>
      </w:r>
      <m:oMath>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oMath>
      <w:r>
        <w:rPr>
          <w:rFonts w:ascii="Calibri" w:hAnsi="Calibri"/>
        </w:rPr>
        <w:t>) for the output:</w:t>
      </w:r>
    </w:p>
    <w:p w14:paraId="0F5BB6A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m:t>
                  </m:r>
                </m:sub>
              </m:sSub>
            </m:e>
          </m:box>
        </m:oMath>
      </m:oMathPara>
    </w:p>
    <w:p w14:paraId="4C79D365" w14:textId="77777777" w:rsidR="00455F66" w:rsidRDefault="00000000">
      <w:pPr>
        <w:spacing w:after="120"/>
      </w:pPr>
      <w:r>
        <w:rPr>
          <w:rFonts w:ascii="Calibri" w:hAnsi="Calibri"/>
        </w:rPr>
        <w:t xml:space="preserve">Now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oMath>
      <w:r>
        <w:rPr>
          <w:rFonts w:ascii="Calibri" w:hAnsi="Calibri"/>
        </w:rPr>
        <w:t xml:space="preserve"> only needs to point in the direction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the context predicts token </w:t>
      </w:r>
      <m:oMath>
        <m:box>
          <m:boxPr>
            <m:ctrlPr>
              <w:rPr>
                <w:rFonts w:ascii="Cambria Math" w:hAnsi="Cambria Math"/>
              </w:rPr>
            </m:ctrlPr>
          </m:boxPr>
          <m:e>
            <m:r>
              <w:rPr>
                <w:rFonts w:ascii="Cambria Math" w:hAnsi="Cambria Math"/>
              </w:rPr>
              <m:t>v</m:t>
            </m:r>
          </m:e>
        </m:box>
      </m:oMath>
      <w:r>
        <w:rPr>
          <w:rFonts w:ascii="Calibri" w:hAnsi="Calibri"/>
        </w:rPr>
        <w:t xml:space="preserve"> — it does not also have to serve as the input representation for </w:t>
      </w:r>
      <m:oMath>
        <m:box>
          <m:boxPr>
            <m:ctrlPr>
              <w:rPr>
                <w:rFonts w:ascii="Cambria Math" w:hAnsi="Cambria Math"/>
              </w:rPr>
            </m:ctrlPr>
          </m:boxPr>
          <m:e>
            <m:r>
              <w:rPr>
                <w:rFonts w:ascii="Cambria Math" w:hAnsi="Cambria Math"/>
              </w:rPr>
              <m:t>v</m:t>
            </m:r>
          </m:e>
        </m:box>
      </m:oMath>
      <w:r>
        <w:rPr>
          <w:rFonts w:ascii="Calibri" w:hAnsi="Calibri"/>
        </w:rPr>
        <w:t xml:space="preserve">. The input embedding </w:t>
      </w:r>
      <m:oMath>
        <m:box>
          <m:boxPr>
            <m:ctrlPr>
              <w:rPr>
                <w:rFonts w:ascii="Cambria Math" w:hAnsi="Cambria Math"/>
              </w:rPr>
            </m:ctrlPr>
          </m:boxPr>
          <m:e>
            <m:r>
              <w:rPr>
                <w:rFonts w:ascii="Cambria Math" w:hAnsi="Cambria Math"/>
              </w:rPr>
              <m:t>E</m:t>
            </m:r>
          </m:e>
        </m:box>
      </m:oMath>
      <w:r>
        <w:rPr>
          <w:rFonts w:ascii="Calibri" w:hAnsi="Calibri"/>
        </w:rPr>
        <w:t xml:space="preserve"> and the output projection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receive independent gradients, so rare tokens can develop well-conditioned output directions even with few training occurrences.</w:t>
      </w:r>
    </w:p>
    <w:p w14:paraId="78AF972A" w14:textId="77777777" w:rsidR="00455F66" w:rsidRDefault="00000000" w:rsidP="00A812A2">
      <w:r>
        <w:rPr>
          <w:rFonts w:ascii="Calibri" w:hAnsi="Calibri"/>
        </w:rPr>
        <w:t xml:space="preserve">The output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e>
        </m:box>
      </m:oMath>
      <w:r>
        <w:rPr>
          <w:rFonts w:ascii="Calibri" w:hAnsi="Calibri"/>
        </w:rPr>
        <w:t xml:space="preserve"> (initialised to log-unigram-frequency) is the cheap first step — it absorbs the frequency prior so the dynamics stop wasting capacity on it. Untying is the deeper fix: it decouples the rare-token output directions from their undertrained input embeddings entirely. The full diagnostic is in </w:t>
      </w:r>
      <w:r w:rsidR="00A812A2">
        <w:rPr>
          <w:rFonts w:ascii="Calibri" w:hAnsi="Calibri"/>
        </w:rPr>
        <w:t>[</w:t>
      </w:r>
      <w:r w:rsidR="00A67B18">
        <w:rPr>
          <w:rFonts w:ascii="Calibri" w:hAnsi="Calibri"/>
        </w:rPr>
        <w:t>7</w:t>
      </w:r>
      <w:r w:rsidR="00A812A2">
        <w:rPr>
          <w:rFonts w:ascii="Calibri" w:hAnsi="Calibri"/>
        </w:rPr>
        <w:t>] (</w:t>
      </w:r>
      <w:proofErr w:type="spellStart"/>
      <w:r>
        <w:fldChar w:fldCharType="begin"/>
      </w:r>
      <w:r>
        <w:instrText>HYPERLINK "https://github.com/dimitarpg13/semsimula-paper/blob/main/companion_notes/Xi_Bottleneck_Diagnosis_Phase5.md"</w:instrText>
      </w:r>
      <w:r>
        <w:fldChar w:fldCharType="separate"/>
      </w:r>
      <w:r w:rsidRPr="00A812A2">
        <w:rPr>
          <w:rStyle w:val="Hyperlink"/>
          <w:rFonts w:ascii="Consolas" w:hAnsi="Consolas" w:cs="Consolas"/>
          <w:sz w:val="17"/>
          <w:szCs w:val="17"/>
        </w:rPr>
        <w:t>companion_notes</w:t>
      </w:r>
      <w:proofErr w:type="spellEnd"/>
      <w:r w:rsidRPr="00A812A2">
        <w:rPr>
          <w:rStyle w:val="Hyperlink"/>
          <w:rFonts w:ascii="Consolas" w:hAnsi="Consolas" w:cs="Consolas"/>
          <w:sz w:val="17"/>
          <w:szCs w:val="17"/>
        </w:rPr>
        <w:t>/Xi_Bottleneck_Diagnosis_Phase5.md</w:t>
      </w:r>
      <w:r>
        <w:rPr>
          <w:rStyle w:val="Hyperlink"/>
          <w:rFonts w:ascii="Consolas" w:hAnsi="Consolas" w:cs="Consolas"/>
          <w:sz w:val="17"/>
          <w:szCs w:val="17"/>
        </w:rPr>
        <w:fldChar w:fldCharType="end"/>
      </w:r>
      <w:r w:rsidR="00A812A2">
        <w:rPr>
          <w:rFonts w:ascii="Consolas" w:hAnsi="Consolas" w:cs="Consolas"/>
          <w:sz w:val="17"/>
          <w:szCs w:val="17"/>
        </w:rPr>
        <w:t>)</w:t>
      </w:r>
      <w:r>
        <w:rPr>
          <w:rFonts w:ascii="Calibri" w:hAnsi="Calibri"/>
        </w:rPr>
        <w:t>, sections 8.4 and 9.1–9.3.</w:t>
      </w:r>
    </w:p>
    <w:p w14:paraId="03471F6C" w14:textId="77777777" w:rsidR="00455F66" w:rsidRDefault="00000000">
      <w:pPr>
        <w:spacing w:after="120"/>
      </w:pPr>
      <w:r>
        <w:rPr>
          <w:rFonts w:ascii="Calibri" w:hAnsi="Calibri"/>
        </w:rPr>
        <w:t>Here is a self-contained mathematical analysis of why the tied head is structurally suboptimal for our architecture.</w:t>
      </w:r>
    </w:p>
    <w:p w14:paraId="5A8D1AC5" w14:textId="77777777" w:rsidR="00455F66" w:rsidRDefault="00000000">
      <w:pPr>
        <w:pStyle w:val="Heading3"/>
        <w:spacing w:after="120"/>
      </w:pPr>
      <w:bookmarkStart w:id="75" w:name="_Toc240119423"/>
      <w:r>
        <w:rPr>
          <w:rFonts w:ascii="Calibri" w:hAnsi="Calibri"/>
          <w:sz w:val="19"/>
        </w:rPr>
        <w:t>1. Setup and notation</w:t>
      </w:r>
      <w:bookmarkEnd w:id="75"/>
    </w:p>
    <w:tbl>
      <w:tblPr>
        <w:tblStyle w:val="TableGrid"/>
        <w:tblW w:w="0" w:type="auto"/>
        <w:tblLook w:val="04A0" w:firstRow="1" w:lastRow="0" w:firstColumn="1" w:lastColumn="0" w:noHBand="0" w:noVBand="1"/>
      </w:tblPr>
      <w:tblGrid>
        <w:gridCol w:w="4675"/>
        <w:gridCol w:w="4675"/>
      </w:tblGrid>
      <w:tr w:rsidR="00455F66" w14:paraId="1F53E300" w14:textId="77777777">
        <w:tc>
          <w:tcPr>
            <w:tcW w:w="4680" w:type="dxa"/>
          </w:tcPr>
          <w:p w14:paraId="7248DBAC" w14:textId="77777777" w:rsidR="00455F66" w:rsidRDefault="00000000">
            <w:r>
              <w:rPr>
                <w:rFonts w:ascii="Calibri" w:hAnsi="Calibri"/>
                <w:b/>
                <w:sz w:val="17"/>
              </w:rPr>
              <w:t>Symbol</w:t>
            </w:r>
          </w:p>
        </w:tc>
        <w:tc>
          <w:tcPr>
            <w:tcW w:w="4680" w:type="dxa"/>
          </w:tcPr>
          <w:p w14:paraId="702039BC" w14:textId="77777777" w:rsidR="00455F66" w:rsidRDefault="00000000">
            <w:r>
              <w:rPr>
                <w:rFonts w:ascii="Calibri" w:hAnsi="Calibri"/>
                <w:b/>
                <w:sz w:val="17"/>
              </w:rPr>
              <w:t>Meaning</w:t>
            </w:r>
          </w:p>
        </w:tc>
      </w:tr>
      <w:tr w:rsidR="00455F66" w14:paraId="07B95133" w14:textId="77777777">
        <w:tc>
          <w:tcPr>
            <w:tcW w:w="4680" w:type="dxa"/>
          </w:tcPr>
          <w:p w14:paraId="70383AA8" w14:textId="77777777" w:rsidR="00455F66" w:rsidRDefault="00AE2901">
            <m:oMath>
              <m:r>
                <w:rPr>
                  <w:rFonts w:ascii="Cambria Math" w:hAnsi="Cambria Math"/>
                  <w:sz w:val="17"/>
                </w:rPr>
                <m:t>V</m:t>
              </m:r>
            </m:oMath>
            <w:r>
              <w:rPr>
                <w:rFonts w:eastAsiaTheme="minorEastAsia"/>
                <w:sz w:val="17"/>
              </w:rPr>
              <w:t xml:space="preserve"> </w:t>
            </w:r>
          </w:p>
        </w:tc>
        <w:tc>
          <w:tcPr>
            <w:tcW w:w="4680" w:type="dxa"/>
          </w:tcPr>
          <w:p w14:paraId="382F400F" w14:textId="77777777" w:rsidR="00455F66" w:rsidRDefault="00000000">
            <w:r>
              <w:rPr>
                <w:rFonts w:ascii="Calibri" w:hAnsi="Calibri"/>
                <w:sz w:val="17"/>
              </w:rPr>
              <w:t>vocabulary size (</w:t>
            </w:r>
            <m:oMath>
              <m:r>
                <w:rPr>
                  <w:rFonts w:ascii="Cambria Math" w:hAnsi="Cambria Math"/>
                  <w:sz w:val="17"/>
                </w:rPr>
                <m:t>50,257</m:t>
              </m:r>
            </m:oMath>
            <w:r>
              <w:rPr>
                <w:rFonts w:ascii="Calibri" w:hAnsi="Calibri"/>
                <w:sz w:val="17"/>
              </w:rPr>
              <w:t>)</w:t>
            </w:r>
          </w:p>
        </w:tc>
      </w:tr>
      <w:tr w:rsidR="00455F66" w14:paraId="7659F438" w14:textId="77777777">
        <w:tc>
          <w:tcPr>
            <w:tcW w:w="4680" w:type="dxa"/>
          </w:tcPr>
          <w:p w14:paraId="6B6CCB85" w14:textId="77777777" w:rsidR="00455F66" w:rsidRDefault="00A812A2">
            <m:oMath>
              <m:r>
                <w:rPr>
                  <w:rFonts w:ascii="Cambria Math" w:hAnsi="Cambria Math"/>
                  <w:sz w:val="17"/>
                </w:rPr>
                <m:t>d</m:t>
              </m:r>
            </m:oMath>
            <w:r>
              <w:rPr>
                <w:rFonts w:eastAsiaTheme="minorEastAsia"/>
                <w:sz w:val="17"/>
              </w:rPr>
              <w:t xml:space="preserve"> </w:t>
            </w:r>
          </w:p>
        </w:tc>
        <w:tc>
          <w:tcPr>
            <w:tcW w:w="4680" w:type="dxa"/>
          </w:tcPr>
          <w:p w14:paraId="47C89DC9" w14:textId="77777777" w:rsidR="00455F66" w:rsidRDefault="00000000">
            <w:r>
              <w:rPr>
                <w:rFonts w:ascii="Calibri" w:hAnsi="Calibri"/>
                <w:sz w:val="17"/>
              </w:rPr>
              <w:t xml:space="preserve">hidden dimension (384), </w:t>
            </w:r>
            <m:oMath>
              <m:r>
                <w:rPr>
                  <w:rFonts w:ascii="Cambria Math" w:hAnsi="Cambria Math"/>
                  <w:sz w:val="17"/>
                </w:rPr>
                <m:t>d ≪ V</m:t>
              </m:r>
            </m:oMath>
          </w:p>
        </w:tc>
      </w:tr>
      <w:tr w:rsidR="00455F66" w14:paraId="77762011" w14:textId="77777777">
        <w:tc>
          <w:tcPr>
            <w:tcW w:w="4680" w:type="dxa"/>
          </w:tcPr>
          <w:p w14:paraId="73FAFE21" w14:textId="77777777" w:rsidR="00455F66" w:rsidRDefault="00000000">
            <w:r>
              <w:rPr>
                <w:rFonts w:ascii="Calibri" w:hAnsi="Calibri"/>
                <w:sz w:val="17"/>
              </w:rPr>
              <w:t>E ∈ R^{V×d}</w:t>
            </w:r>
          </w:p>
        </w:tc>
        <w:tc>
          <w:tcPr>
            <w:tcW w:w="4680" w:type="dxa"/>
          </w:tcPr>
          <w:p w14:paraId="7EF42681" w14:textId="77777777" w:rsidR="00455F66" w:rsidRDefault="00000000">
            <w:r>
              <w:rPr>
                <w:rFonts w:ascii="Calibri" w:hAnsi="Calibri"/>
                <w:sz w:val="17"/>
              </w:rPr>
              <w:t>input embedding matrix</w:t>
            </w:r>
          </w:p>
        </w:tc>
      </w:tr>
      <w:tr w:rsidR="00455F66" w14:paraId="1440F496" w14:textId="77777777">
        <w:tc>
          <w:tcPr>
            <w:tcW w:w="4680" w:type="dxa"/>
          </w:tcPr>
          <w:p w14:paraId="09B91A19" w14:textId="77777777" w:rsidR="00455F66" w:rsidRDefault="00000000">
            <w:r>
              <w:rPr>
                <w:rFonts w:ascii="Calibri" w:hAnsi="Calibri"/>
                <w:sz w:val="17"/>
              </w:rPr>
              <w:t>h_L ∈ R^d</w:t>
            </w:r>
          </w:p>
        </w:tc>
        <w:tc>
          <w:tcPr>
            <w:tcW w:w="4680" w:type="dxa"/>
          </w:tcPr>
          <w:p w14:paraId="1D2AF68B" w14:textId="77777777" w:rsidR="00455F66" w:rsidRDefault="00000000">
            <w:r>
              <w:rPr>
                <w:rFonts w:ascii="Calibri" w:hAnsi="Calibri"/>
                <w:sz w:val="17"/>
              </w:rPr>
              <w:t>final hidden state from the conservative dynamics</w:t>
            </w:r>
          </w:p>
        </w:tc>
      </w:tr>
      <w:tr w:rsidR="00455F66" w14:paraId="2A785901" w14:textId="77777777">
        <w:tc>
          <w:tcPr>
            <w:tcW w:w="4680" w:type="dxa"/>
          </w:tcPr>
          <w:p w14:paraId="1AF3D9EA" w14:textId="77777777" w:rsidR="00455F66" w:rsidRDefault="00000000">
            <w:r>
              <w:rPr>
                <w:rFonts w:ascii="Calibri" w:hAnsi="Calibri"/>
                <w:sz w:val="17"/>
              </w:rPr>
              <w:t>v*</w:t>
            </w:r>
          </w:p>
        </w:tc>
        <w:tc>
          <w:tcPr>
            <w:tcW w:w="4680" w:type="dxa"/>
          </w:tcPr>
          <w:p w14:paraId="17FB9B0F" w14:textId="77777777" w:rsidR="00455F66" w:rsidRDefault="00000000">
            <w:r>
              <w:rPr>
                <w:rFonts w:ascii="Calibri" w:hAnsi="Calibri"/>
                <w:sz w:val="17"/>
              </w:rPr>
              <w:t>target token at a given position</w:t>
            </w:r>
          </w:p>
        </w:tc>
      </w:tr>
      <w:tr w:rsidR="00455F66" w14:paraId="082F2BAF" w14:textId="77777777">
        <w:tc>
          <w:tcPr>
            <w:tcW w:w="4680" w:type="dxa"/>
          </w:tcPr>
          <w:p w14:paraId="65FB4AEF" w14:textId="77777777" w:rsidR="00455F66" w:rsidRDefault="00000000">
            <w:r>
              <w:rPr>
                <w:rFonts w:ascii="Calibri" w:hAnsi="Calibri"/>
                <w:sz w:val="17"/>
              </w:rPr>
              <w:t>p(v | c)</w:t>
            </w:r>
          </w:p>
        </w:tc>
        <w:tc>
          <w:tcPr>
            <w:tcW w:w="4680" w:type="dxa"/>
          </w:tcPr>
          <w:p w14:paraId="7476AF47" w14:textId="77777777" w:rsidR="00455F66" w:rsidRDefault="00000000">
            <w:r>
              <w:rPr>
                <w:rFonts w:ascii="Calibri" w:hAnsi="Calibri"/>
                <w:sz w:val="17"/>
              </w:rPr>
              <w:t>true conditional distribution given context c</w:t>
            </w:r>
          </w:p>
        </w:tc>
      </w:tr>
    </w:tbl>
    <w:p w14:paraId="14AB99D7" w14:textId="77777777" w:rsidR="00455F66" w:rsidRDefault="00455F66"/>
    <w:p w14:paraId="1639889A" w14:textId="77777777" w:rsidR="00455F66" w:rsidRDefault="00000000">
      <w:pPr>
        <w:spacing w:after="120"/>
      </w:pPr>
      <w:r>
        <w:rPr>
          <w:rFonts w:ascii="Calibri" w:hAnsi="Calibri"/>
        </w:rPr>
        <w:t xml:space="preserve">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so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383A37F7" w14:textId="77777777" w:rsidR="00455F66" w:rsidRDefault="00000000">
      <w:pPr>
        <w:spacing w:after="120"/>
      </w:pPr>
      <w:r>
        <w:rPr>
          <w:rFonts w:ascii="Calibri" w:hAnsi="Calibri"/>
        </w:rPr>
        <w:lastRenderedPageBreak/>
        <w:t xml:space="preserve">Untied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b</m:t>
            </m:r>
          </m:e>
        </m:box>
      </m:oMath>
      <w:r>
        <w:rPr>
          <w:rFonts w:ascii="Calibri" w:hAnsi="Calibri"/>
        </w:rPr>
        <w:t xml:space="preserve">, where </w:t>
      </w:r>
      <m:oMath>
        <m:box>
          <m:boxPr>
            <m:ctrlPr>
              <w:rPr>
                <w:rFonts w:ascii="Cambria Math" w:hAnsi="Cambria Math"/>
              </w:rPr>
            </m:ctrlPr>
          </m:boxPr>
          <m:e>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is a separate output matrix and </w:t>
      </w:r>
      <m:oMath>
        <m:box>
          <m:boxPr>
            <m:ctrlPr>
              <w:rPr>
                <w:rFonts w:ascii="Cambria Math" w:hAnsi="Cambria Math"/>
              </w:rPr>
            </m:ctrlPr>
          </m:boxPr>
          <m:e>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bias.</w:t>
      </w:r>
    </w:p>
    <w:p w14:paraId="2C81C52A" w14:textId="77777777" w:rsidR="00455F66" w:rsidRDefault="00000000">
      <w:pPr>
        <w:pStyle w:val="Heading3"/>
        <w:spacing w:after="120"/>
      </w:pPr>
      <w:bookmarkStart w:id="76" w:name="_Toc240119424"/>
      <w:r>
        <w:rPr>
          <w:rFonts w:ascii="Calibri" w:hAnsi="Calibri"/>
          <w:sz w:val="19"/>
        </w:rPr>
        <w:t>2. The column-space bottleneck</w:t>
      </w:r>
      <w:bookmarkEnd w:id="76"/>
    </w:p>
    <w:p w14:paraId="0975AC36" w14:textId="77777777" w:rsidR="00455F66" w:rsidRDefault="00000000">
      <w:pPr>
        <w:spacing w:after="120"/>
      </w:pPr>
      <w:r>
        <w:rPr>
          <w:rFonts w:ascii="Calibri" w:hAnsi="Calibri"/>
        </w:rPr>
        <w:t xml:space="preserve">Both tied and untied logit vectors live in a </w:t>
      </w:r>
      <m:oMath>
        <m:box>
          <m:boxPr>
            <m:ctrlPr>
              <w:rPr>
                <w:rFonts w:ascii="Cambria Math" w:hAnsi="Cambria Math"/>
              </w:rPr>
            </m:ctrlPr>
          </m:boxPr>
          <m:e>
            <m:r>
              <w:rPr>
                <w:rFonts w:ascii="Cambria Math" w:hAnsi="Cambria Math"/>
              </w:rPr>
              <m:t>d</m:t>
            </m:r>
          </m:e>
        </m:box>
      </m:oMath>
      <w:r>
        <w:rPr>
          <w:rFonts w:ascii="Calibri" w:hAnsi="Calibri"/>
        </w:rPr>
        <w:t xml:space="preserve">-dimensional subspace of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Specifically, the set of realisable logit vectors is:</w:t>
      </w:r>
    </w:p>
    <w:p w14:paraId="025C3FD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280961F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0AFEF754" w14:textId="77777777" w:rsidR="00455F66" w:rsidRDefault="00000000">
      <w:pPr>
        <w:spacing w:after="120"/>
      </w:pPr>
      <w:r>
        <w:rPr>
          <w:rFonts w:ascii="Calibri" w:hAnsi="Calibri"/>
        </w:rPr>
        <w:t xml:space="preserve">Both are </w:t>
      </w:r>
      <m:oMath>
        <m:box>
          <m:boxPr>
            <m:ctrlPr>
              <w:rPr>
                <w:rFonts w:ascii="Cambria Math" w:hAnsi="Cambria Math"/>
              </w:rPr>
            </m:ctrlPr>
          </m:boxPr>
          <m:e>
            <m:r>
              <w:rPr>
                <w:rFonts w:ascii="Cambria Math" w:hAnsi="Cambria Math"/>
              </w:rPr>
              <m:t>d</m:t>
            </m:r>
          </m:e>
        </m:box>
      </m:oMath>
      <w:r>
        <w:rPr>
          <w:rFonts w:ascii="Calibri" w:hAnsi="Calibri"/>
        </w:rPr>
        <w:t xml:space="preserve">-dimensional (assuming full rank). The difference is which </w:t>
      </w:r>
      <m:oMath>
        <m:box>
          <m:boxPr>
            <m:ctrlPr>
              <w:rPr>
                <w:rFonts w:ascii="Cambria Math" w:hAnsi="Cambria Math"/>
              </w:rPr>
            </m:ctrlPr>
          </m:boxPr>
          <m:e>
            <m:r>
              <w:rPr>
                <w:rFonts w:ascii="Cambria Math" w:hAnsi="Cambria Math"/>
              </w:rPr>
              <m:t>d</m:t>
            </m:r>
          </m:e>
        </m:box>
      </m:oMath>
      <w:r>
        <w:rPr>
          <w:rFonts w:ascii="Calibri" w:hAnsi="Calibri"/>
        </w:rPr>
        <w:t>-dimensional subspace they span. With tying, the subspace is dictated by the input embedding objective. With untying, it is free to be optimised purely for the output objective.</w:t>
      </w:r>
    </w:p>
    <w:p w14:paraId="72631267" w14:textId="77777777" w:rsidR="00455F66" w:rsidRDefault="00000000">
      <w:pPr>
        <w:pStyle w:val="Heading3"/>
        <w:spacing w:after="120"/>
      </w:pPr>
      <w:bookmarkStart w:id="77" w:name="_Toc240119425"/>
      <w:r>
        <w:rPr>
          <w:rFonts w:ascii="Calibri" w:hAnsi="Calibri"/>
          <w:sz w:val="19"/>
        </w:rPr>
        <w:t>3. The optimal logit vector and the projection error</w:t>
      </w:r>
      <w:bookmarkEnd w:id="77"/>
    </w:p>
    <w:p w14:paraId="5DC5DECB" w14:textId="77777777" w:rsidR="00455F66" w:rsidRDefault="00000000">
      <w:pPr>
        <w:spacing w:after="120"/>
      </w:pPr>
      <w:r>
        <w:rPr>
          <w:rFonts w:ascii="Calibri" w:hAnsi="Calibri"/>
        </w:rPr>
        <w:t xml:space="preserve">For context </w:t>
      </w:r>
      <m:oMath>
        <m:box>
          <m:boxPr>
            <m:ctrlPr>
              <w:rPr>
                <w:rFonts w:ascii="Cambria Math" w:hAnsi="Cambria Math"/>
              </w:rPr>
            </m:ctrlPr>
          </m:boxPr>
          <m:e>
            <m:r>
              <w:rPr>
                <w:rFonts w:ascii="Cambria Math" w:hAnsi="Cambria Math"/>
              </w:rPr>
              <m:t>c</m:t>
            </m:r>
          </m:e>
        </m:box>
      </m:oMath>
      <w:r>
        <w:rPr>
          <w:rFonts w:ascii="Calibri" w:hAnsi="Calibri"/>
        </w:rPr>
        <w:t>, let the Bayes-optimal logit vector be:</w:t>
      </w:r>
    </w:p>
    <w:p w14:paraId="0B0108D0"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e>
              </m:func>
              <m:r>
                <m:rPr>
                  <m:sty m:val="p"/>
                </m:rPr>
                <w:rPr>
                  <w:rFonts w:ascii="Cambria Math" w:hAnsi="Cambria Math"/>
                </w:rPr>
                <m:t>+</m:t>
              </m:r>
              <m:box>
                <m:boxPr>
                  <m:ctrlPr>
                    <w:rPr>
                      <w:rFonts w:ascii="Cambria Math" w:hAnsi="Cambria Math"/>
                    </w:rPr>
                  </m:ctrlPr>
                </m:boxPr>
                <m:e>
                  <m:r>
                    <m:rPr>
                      <m:sty m:val="p"/>
                    </m:rPr>
                    <w:rPr>
                      <w:rFonts w:ascii="Cambria Math" w:hAnsi="Cambria Math"/>
                    </w:rPr>
                    <m:t>const</m:t>
                  </m:r>
                </m:e>
              </m:box>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m:oMathPara>
    </w:p>
    <w:p w14:paraId="41BBB8BA" w14:textId="77777777" w:rsidR="00455F66" w:rsidRDefault="00000000">
      <w:pPr>
        <w:spacing w:after="120"/>
      </w:pPr>
      <w:r>
        <w:rPr>
          <w:rFonts w:ascii="Calibri" w:hAnsi="Calibri"/>
        </w:rPr>
        <w:t>(The constant cancels in the softmax.) The model’s cross-entropy excess over Bayes-optimal is, to second order around the optimum:</w:t>
      </w:r>
    </w:p>
    <w:p w14:paraId="59AA9501"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excess</m:t>
                          </m:r>
                        </m:e>
                      </m:box>
                    </m:e>
                  </m:box>
                </m:sub>
              </m:sSub>
              <m:r>
                <m:rPr>
                  <m:sty m:val="p"/>
                </m:rPr>
                <w:rPr>
                  <w:rFonts w:ascii="Cambria Math" w:hAnsi="Cambria Math"/>
                </w:rPr>
                <m:t>(</m:t>
              </m:r>
              <m:r>
                <w:rPr>
                  <w:rFonts w:ascii="Cambria Math" w:hAnsi="Cambria Math"/>
                </w:rPr>
                <m:t>c</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box>
                <m:boxPr>
                  <m:ctrlPr>
                    <w:rPr>
                      <w:rFonts w:ascii="Cambria Math" w:hAnsi="Cambria Math"/>
                    </w:rPr>
                  </m:ctrlPr>
                </m:boxPr>
                <m:e>
                  <m:r>
                    <m:rPr>
                      <m:sty m:val="p"/>
                    </m:rPr>
                    <w:rPr>
                      <w:rFonts w:ascii="Cambria Math" w:hAnsi="Cambria Math"/>
                    </w:rPr>
                    <m:t>diag</m:t>
                  </m:r>
                </m:e>
              </m:box>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r>
                <m:rPr>
                  <m:sty m:val="p"/>
                </m:rPr>
                <w:rPr>
                  <w:rFonts w:ascii="Cambria Math" w:hAnsi="Cambria Math"/>
                </w:rPr>
                <m:t>)</m:t>
              </m:r>
            </m:e>
          </m:box>
        </m:oMath>
      </m:oMathPara>
    </w:p>
    <w:p w14:paraId="0023349D" w14:textId="77777777" w:rsidR="00455F66" w:rsidRDefault="00000000">
      <w:pPr>
        <w:spacing w:after="120"/>
      </w:pPr>
      <w:r>
        <w:rPr>
          <w:rFonts w:ascii="Calibri" w:hAnsi="Calibri"/>
        </w:rPr>
        <w:t xml:space="preserve">where </w:t>
      </w:r>
      <m:oMath>
        <m:box>
          <m:boxPr>
            <m:ctrlPr>
              <w:rPr>
                <w:rFonts w:ascii="Cambria Math" w:hAnsi="Cambria Math"/>
              </w:rPr>
            </m:ctrlPr>
          </m:boxPr>
          <m:e>
            <m:acc>
              <m:accPr>
                <m:ctrlPr>
                  <w:rPr>
                    <w:rFonts w:ascii="Cambria Math" w:hAnsi="Cambria Math"/>
                    <w:i/>
                  </w:rPr>
                </m:ctrlPr>
              </m:accPr>
              <m:e>
                <m:r>
                  <w:rPr>
                    <w:rFonts w:ascii="Cambria Math" w:hAnsi="Cambria Math"/>
                  </w:rPr>
                  <m:t>z</m:t>
                </m:r>
              </m:e>
            </m:acc>
          </m:e>
        </m:box>
      </m:oMath>
      <w:r>
        <w:rPr>
          <w:rFonts w:ascii="Calibri" w:hAnsi="Calibri"/>
        </w:rPr>
        <w:t xml:space="preserve"> is the model’s logit vector and </w:t>
      </w:r>
      <m:oMath>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e>
        </m:box>
      </m:oMath>
      <w:r>
        <w:rPr>
          <w:rFonts w:ascii="Calibri" w:hAnsi="Calibri"/>
        </w:rPr>
        <w:t xml:space="preserve">. This is the Fisher-weighted squared error — the cost of logit mis-specification is proportional to the weighted projection error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the model’s realisable subspace.</w:t>
      </w:r>
    </w:p>
    <w:p w14:paraId="61A61811" w14:textId="77777777" w:rsidR="00455F66" w:rsidRDefault="00000000">
      <w:pPr>
        <w:spacing w:after="120"/>
      </w:pPr>
      <w:r>
        <w:rPr>
          <w:rFonts w:ascii="Calibri" w:hAnsi="Calibri"/>
        </w:rPr>
        <w:t xml:space="preserve">Decompose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using the SVD of the embedding matrix. Let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UΣ</m:t>
            </m:r>
            <m:sSup>
              <m:sSupPr>
                <m:ctrlPr>
                  <w:rPr>
                    <w:rFonts w:ascii="Cambria Math" w:hAnsi="Cambria Math"/>
                  </w:rPr>
                </m:ctrlPr>
              </m:sSupPr>
              <m:e>
                <m:r>
                  <w:rPr>
                    <w:rFonts w:ascii="Cambria Math" w:hAnsi="Cambria Math"/>
                  </w:rPr>
                  <m:t>Q</m:t>
                </m:r>
              </m:e>
              <m:sup>
                <m:r>
                  <m:rPr>
                    <m:sty m:val="p"/>
                  </m:rPr>
                  <w:rPr>
                    <w:rFonts w:ascii="Cambria Math" w:hAnsi="Cambria Math"/>
                  </w:rPr>
                  <m:t>⊤</m:t>
                </m:r>
              </m:sup>
            </m:sSup>
          </m:e>
        </m:box>
      </m:oMath>
      <w:r>
        <w:rPr>
          <w:rFonts w:ascii="Calibri" w:hAnsi="Calibri"/>
        </w:rPr>
        <w:t xml:space="preserve"> (thin SVD: </w:t>
      </w:r>
      <m:oMath>
        <m:box>
          <m:boxPr>
            <m:ctrlPr>
              <w:rPr>
                <w:rFonts w:ascii="Cambria Math" w:hAnsi="Cambria Math"/>
              </w:rPr>
            </m:ctrlPr>
          </m:boxPr>
          <m:e>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orthonormal columns). Then the projection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w:t>
      </w:r>
      <m:oMath>
        <m:box>
          <m:boxPr>
            <m:ctrlPr>
              <w:rPr>
                <w:rFonts w:ascii="Cambria Math" w:hAnsi="Cambria Math"/>
              </w:rPr>
            </m:ctrlPr>
          </m:boxPr>
          <m:e>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and the residual is:</w:t>
      </w:r>
    </w:p>
    <w:p w14:paraId="3BF62463"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6CDEB484" w14:textId="77777777" w:rsidR="00455F66" w:rsidRDefault="00000000">
      <w:pPr>
        <w:spacing w:after="120"/>
      </w:pPr>
      <w:r>
        <w:t xml:space="preserve">This residual is irreducible for the tied head — no choice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can reduce it. For the untied head with its own thin SVD </w:t>
      </w:r>
      <m:oMath>
        <m:box>
          <m:boxPr>
            <m:ctrlPr>
              <w:rPr>
                <w:rFonts w:ascii="Cambria Math" w:hAnsi="Cambria Math"/>
              </w:rPr>
            </m:ctrlPr>
          </m:boxPr>
          <m:e>
            <m:r>
              <w:rPr>
                <w:rFonts w:ascii="Cambria Math" w:hAnsi="Cambria Math"/>
              </w:rPr>
              <m:t>W</m:t>
            </m:r>
            <m:r>
              <m:rPr>
                <m:sty m:val="p"/>
              </m:rPr>
              <w:rPr>
                <w:rFonts w:ascii="Cambria Math" w:hAnsi="Cambria Math"/>
              </w:rPr>
              <m:t>=</m:t>
            </m:r>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limUpp>
              <m:limUppPr>
                <m:ctrlPr>
                  <w:rPr>
                    <w:rFonts w:ascii="Cambria Math" w:hAnsi="Cambria Math"/>
                  </w:rPr>
                </m:ctrlPr>
              </m:limUppPr>
              <m:e>
                <m:box>
                  <m:boxPr>
                    <m:ctrlPr>
                      <w:rPr>
                        <w:rFonts w:ascii="Cambria Math" w:hAnsi="Cambria Math"/>
                      </w:rPr>
                    </m:ctrlPr>
                  </m:boxPr>
                  <m:e>
                    <m:r>
                      <w:rPr>
                        <w:rFonts w:ascii="Cambria Math" w:hAnsi="Cambria Math"/>
                      </w:rPr>
                      <m:t>Σ</m:t>
                    </m:r>
                  </m:e>
                </m:box>
              </m:e>
              <m:lim>
                <m:r>
                  <m:rPr>
                    <m:sty m:val="p"/>
                  </m:rPr>
                  <w:rPr>
                    <w:rFonts w:ascii="Cambria Math" w:hAnsi="Cambria Math"/>
                  </w:rPr>
                  <m:t>~</m:t>
                </m:r>
              </m:lim>
            </m:limUpp>
            <m:sSup>
              <m:sSupPr>
                <m:ctrlPr>
                  <w:rPr>
                    <w:rFonts w:ascii="Cambria Math" w:hAnsi="Cambria Math"/>
                  </w:rPr>
                </m:ctrlPr>
              </m:sSupPr>
              <m:e>
                <m:limUpp>
                  <m:limUppPr>
                    <m:ctrlPr>
                      <w:rPr>
                        <w:rFonts w:ascii="Cambria Math" w:hAnsi="Cambria Math"/>
                      </w:rPr>
                    </m:ctrlPr>
                  </m:limUppPr>
                  <m:e>
                    <m:box>
                      <m:boxPr>
                        <m:ctrlPr>
                          <w:rPr>
                            <w:rFonts w:ascii="Cambria Math" w:hAnsi="Cambria Math"/>
                          </w:rPr>
                        </m:ctrlPr>
                      </m:boxPr>
                      <m:e>
                        <m:r>
                          <w:rPr>
                            <w:rFonts w:ascii="Cambria Math" w:hAnsi="Cambria Math"/>
                          </w:rPr>
                          <m:t>Q</m:t>
                        </m:r>
                      </m:e>
                    </m:box>
                  </m:e>
                  <m:lim>
                    <m:r>
                      <m:rPr>
                        <m:sty m:val="p"/>
                      </m:rPr>
                      <w:rPr>
                        <w:rFonts w:ascii="Cambria Math" w:hAnsi="Cambria Math"/>
                      </w:rPr>
                      <m:t>~</m:t>
                    </m:r>
                  </m:lim>
                </m:limUpp>
              </m:e>
              <m:sup>
                <m:box>
                  <m:boxPr>
                    <m:ctrlPr>
                      <w:rPr>
                        <w:rFonts w:ascii="Cambria Math" w:hAnsi="Cambria Math"/>
                      </w:rPr>
                    </m:ctrlPr>
                  </m:boxPr>
                  <m:e>
                    <m:r>
                      <m:rPr>
                        <m:sty m:val="p"/>
                      </m:rPr>
                      <w:rPr>
                        <w:rFonts w:ascii="Cambria Math" w:hAnsi="Cambria Math"/>
                      </w:rPr>
                      <m:t>⊤</m:t>
                    </m:r>
                  </m:e>
                </m:box>
              </m:sup>
            </m:sSup>
          </m:e>
        </m:box>
      </m:oMath>
      <w:r>
        <w:t xml:space="preserve"> (</w:t>
      </w:r>
      <m:oMath>
        <m:box>
          <m:boxPr>
            <m:ctrlPr>
              <w:rPr>
                <w:rFonts w:ascii="Cambria Math" w:hAnsi="Cambria Math"/>
              </w:rPr>
            </m:ctrlPr>
          </m:boxPr>
          <m:e>
            <m:r>
              <w:rPr>
                <w:rFonts w:ascii="Cambria Math" w:hAnsi="Cambria Math"/>
              </w:rPr>
              <m:t>W</m:t>
            </m:r>
          </m:e>
        </m:box>
      </m:oMath>
      <w:r>
        <w:t xml:space="preserve">’s factors are not those of </w:t>
      </w:r>
      <m:oMath>
        <m:box>
          <m:boxPr>
            <m:ctrlPr>
              <w:rPr>
                <w:rFonts w:ascii="Cambria Math" w:hAnsi="Cambria Math"/>
              </w:rPr>
            </m:ctrlPr>
          </m:boxPr>
          <m:e>
            <m:r>
              <w:rPr>
                <w:rFonts w:ascii="Cambria Math" w:hAnsi="Cambria Math"/>
              </w:rPr>
              <m:t>E</m:t>
            </m:r>
          </m:e>
        </m:box>
      </m:oMath>
      <w:r>
        <w:t>):</w:t>
      </w:r>
    </w:p>
    <w:p w14:paraId="36C021E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sSup>
                <m:sSupPr>
                  <m:ctrlPr>
                    <w:rPr>
                      <w:rFonts w:ascii="Cambria Math" w:hAnsi="Cambria Math"/>
                    </w:rPr>
                  </m:ctrlPr>
                </m:sSupPr>
                <m:e>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z</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03E0FE13" w14:textId="77777777" w:rsidR="00455F66" w:rsidRDefault="00000000">
      <w:pPr>
        <w:spacing w:after="120"/>
      </w:pPr>
      <w:r>
        <w:rPr>
          <w:rFonts w:ascii="Calibri" w:hAnsi="Calibri"/>
        </w:rPr>
        <w:t xml:space="preserve">Since </w:t>
      </w:r>
      <m:oMath>
        <m:box>
          <m:boxPr>
            <m:ctrlPr>
              <w:rPr>
                <w:rFonts w:ascii="Cambria Math" w:hAnsi="Cambria Math"/>
              </w:rPr>
            </m:ctrlPr>
          </m:boxPr>
          <m:e>
            <m:r>
              <w:rPr>
                <w:rFonts w:ascii="Cambria Math" w:hAnsi="Cambria Math"/>
              </w:rPr>
              <m:t>W</m:t>
            </m:r>
          </m:e>
        </m:box>
      </m:oMath>
      <w:r>
        <w:rPr>
          <w:rFonts w:ascii="Calibri" w:hAnsi="Calibri"/>
        </w:rPr>
        <w:t xml:space="preserve"> is trained purely to minimise output CE, it will orient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e>
        </m:box>
      </m:oMath>
      <w:r>
        <w:rPr>
          <w:rFonts w:ascii="Calibri" w:hAnsi="Calibri"/>
        </w:rPr>
        <w:t xml:space="preserve"> to minimise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w:r>
        <w:rPr>
          <w:rFonts w:ascii="Calibri" w:hAnsi="Calibri"/>
        </w:rPr>
        <w:t xml:space="preserve">, the average Fisher-weighted residual. But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a compromise — it must also serve the input representation objective, so in general:</w:t>
      </w:r>
    </w:p>
    <w:p w14:paraId="697FD50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m:oMathPara>
    </w:p>
    <w:p w14:paraId="681B4062" w14:textId="77777777" w:rsidR="00455F66" w:rsidRDefault="00000000">
      <w:pPr>
        <w:spacing w:after="120"/>
      </w:pPr>
      <w:r>
        <w:rPr>
          <w:rFonts w:ascii="Calibri" w:hAnsi="Calibri"/>
        </w:rPr>
        <w:t xml:space="preserve">The tied head pays a subspace alignment penalty: it cannot rotate its </w:t>
      </w:r>
      <m:oMath>
        <m:box>
          <m:boxPr>
            <m:ctrlPr>
              <w:rPr>
                <w:rFonts w:ascii="Cambria Math" w:hAnsi="Cambria Math"/>
              </w:rPr>
            </m:ctrlPr>
          </m:boxPr>
          <m:e>
            <m:r>
              <w:rPr>
                <w:rFonts w:ascii="Cambria Math" w:hAnsi="Cambria Math"/>
              </w:rPr>
              <m:t>d</m:t>
            </m:r>
          </m:e>
        </m:box>
      </m:oMath>
      <w:r>
        <w:rPr>
          <w:rFonts w:ascii="Calibri" w:hAnsi="Calibri"/>
        </w:rPr>
        <w:t xml:space="preserve"> output directions to best capture the variation in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across contexts.</w:t>
      </w:r>
    </w:p>
    <w:p w14:paraId="7881D234" w14:textId="77777777" w:rsidR="00455F66" w:rsidRDefault="00000000">
      <w:pPr>
        <w:pStyle w:val="Heading3"/>
        <w:spacing w:after="120"/>
      </w:pPr>
      <w:bookmarkStart w:id="78" w:name="_Toc240119426"/>
      <w:r>
        <w:rPr>
          <w:rFonts w:ascii="Calibri" w:hAnsi="Calibri"/>
          <w:sz w:val="19"/>
        </w:rPr>
        <w:t>4. Decomposition: frequency prior + contextual signal</w:t>
      </w:r>
      <w:bookmarkEnd w:id="78"/>
    </w:p>
    <w:p w14:paraId="276A1698" w14:textId="77777777" w:rsidR="00455F66" w:rsidRDefault="00000000">
      <w:pPr>
        <w:spacing w:after="120"/>
      </w:pPr>
      <w:r>
        <w:rPr>
          <w:rFonts w:ascii="Calibri" w:hAnsi="Calibri"/>
        </w:rPr>
        <w:t>The optimal logit vector decomposes as:</w:t>
      </w:r>
    </w:p>
    <w:p w14:paraId="2BF188E1"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+log</m:t>
              </m:r>
              <m:f>
                <m:fPr>
                  <m:ctrlPr>
                    <w:rPr>
                      <w:rFonts w:ascii="Cambria Math" w:hAnsi="Cambria Math"/>
                    </w:rPr>
                  </m:ctrlPr>
                </m:fPr>
                <m:num>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den>
              </m:f>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6C1CFA66" w14:textId="77777777" w:rsidR="00455F66" w:rsidRDefault="00000000">
      <w:pPr>
        <w:spacing w:after="120"/>
      </w:pPr>
      <w:r>
        <w:rPr>
          <w:rFonts w:ascii="Calibri" w:hAnsi="Calibri"/>
        </w:rPr>
        <w:t xml:space="preserve">The first term </w:t>
      </w:r>
      <m:oMath>
        <m:box>
          <m:boxPr>
            <m:ctrlPr>
              <w:rPr>
                <w:rFonts w:ascii="Cambria Math" w:hAnsi="Cambria Math"/>
              </w:rPr>
            </m:ctrlPr>
          </m:boxPr>
          <m:e>
            <m:r>
              <w:rPr>
                <w:rFonts w:ascii="Cambria Math" w:hAnsi="Cambria Math"/>
              </w:rPr>
              <m:t>f</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fixed vector (context-independent). The second term </w:t>
      </w:r>
      <m:oMath>
        <m:box>
          <m:boxPr>
            <m:ctrlPr>
              <w:rPr>
                <w:rFonts w:ascii="Cambria Math" w:hAnsi="Cambria Math"/>
              </w:rPr>
            </m:ctrlPr>
          </m:boxPr>
          <m:e>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the contextual correction — where the semantic content lives.</w:t>
      </w:r>
    </w:p>
    <w:p w14:paraId="2EBF1304" w14:textId="77777777" w:rsidR="00455F66" w:rsidRDefault="00000000">
      <w:pPr>
        <w:spacing w:after="120"/>
      </w:pPr>
      <w:r>
        <w:rPr>
          <w:rFonts w:ascii="Calibri" w:hAnsi="Calibri"/>
        </w:rPr>
        <w:t xml:space="preserve">Without an output bias, the model represents both components via the product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34952F2"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5F000D97" w14:textId="77777777" w:rsidR="00455F66" w:rsidRDefault="00000000">
      <w:pPr>
        <w:spacing w:after="120"/>
      </w:pP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must allocate some of its </w:t>
      </w:r>
      <m:oMath>
        <m:box>
          <m:boxPr>
            <m:ctrlPr>
              <w:rPr>
                <w:rFonts w:ascii="Cambria Math" w:hAnsi="Cambria Math"/>
              </w:rPr>
            </m:ctrlPr>
          </m:boxPr>
          <m:e>
            <m:r>
              <w:rPr>
                <w:rFonts w:ascii="Cambria Math" w:hAnsi="Cambria Math"/>
              </w:rPr>
              <m:t>d</m:t>
            </m:r>
          </m:e>
        </m:box>
      </m:oMath>
      <w:r>
        <w:rPr>
          <w:rFonts w:ascii="Calibri" w:hAnsi="Calibri"/>
        </w:rPr>
        <w:t xml:space="preserve"> dimensions to encode </w:t>
      </w:r>
      <m:oMath>
        <m:box>
          <m:boxPr>
            <m:ctrlPr>
              <w:rPr>
                <w:rFonts w:ascii="Cambria Math" w:hAnsi="Cambria Math"/>
              </w:rPr>
            </m:ctrlPr>
          </m:boxPr>
          <m:e>
            <m:r>
              <w:rPr>
                <w:rFonts w:ascii="Cambria Math" w:hAnsi="Cambria Math"/>
              </w:rPr>
              <m:t>f</m:t>
            </m:r>
          </m:e>
        </m:box>
      </m:oMath>
      <w:r>
        <w:rPr>
          <w:rFonts w:ascii="Calibri" w:hAnsi="Calibri"/>
        </w:rPr>
        <w:t xml:space="preserve"> via the projection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r>
              <w:rPr>
                <w:rFonts w:ascii="Cambria Math" w:hAnsi="Cambria Math"/>
              </w:rPr>
              <m:t>f</m:t>
            </m:r>
          </m:e>
        </m:box>
      </m:oMath>
      <w:r>
        <w:rPr>
          <w:rFonts w:ascii="Calibri" w:hAnsi="Calibri"/>
        </w:rPr>
        <w:t xml:space="preserv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e>
        </m:box>
      </m:oMath>
      <w:r>
        <w:rPr>
          <w:rFonts w:ascii="Calibri" w:hAnsi="Calibri"/>
        </w:rPr>
        <w:t xml:space="preserve"> is the pseudoinverse). Because </w:t>
      </w:r>
      <m:oMath>
        <m:box>
          <m:boxPr>
            <m:ctrlPr>
              <w:rPr>
                <w:rFonts w:ascii="Cambria Math" w:hAnsi="Cambria Math"/>
              </w:rPr>
            </m:ctrlPr>
          </m:boxPr>
          <m:e>
            <m:r>
              <w:rPr>
                <w:rFonts w:ascii="Cambria Math" w:hAnsi="Cambria Math"/>
              </w:rPr>
              <m:t>f</m:t>
            </m:r>
          </m:e>
        </m:box>
      </m:oMath>
      <w:r>
        <w:rPr>
          <w:rFonts w:ascii="Calibri" w:hAnsi="Calibri"/>
        </w:rPr>
        <w:t xml:space="preserve"> has significant energy outside the column space of </w:t>
      </w:r>
      <m:oMath>
        <m:box>
          <m:boxPr>
            <m:ctrlPr>
              <w:rPr>
                <w:rFonts w:ascii="Cambria Math" w:hAnsi="Cambria Math"/>
              </w:rPr>
            </m:ctrlPr>
          </m:boxPr>
          <m:e>
            <m:r>
              <w:rPr>
                <w:rFonts w:ascii="Cambria Math" w:hAnsi="Cambria Math"/>
              </w:rPr>
              <m:t>E</m:t>
            </m:r>
          </m:e>
        </m:box>
      </m:oMath>
      <w:r>
        <w:rPr>
          <w:rFonts w:ascii="Calibri" w:hAnsi="Calibri"/>
        </w:rPr>
        <w:t>, this encoding is lossy.</w:t>
      </w:r>
    </w:p>
    <w:p w14:paraId="2016477A" w14:textId="77777777" w:rsidR="00455F66" w:rsidRDefault="00000000">
      <w:pPr>
        <w:spacing w:after="120"/>
      </w:pPr>
      <w:r>
        <w:rPr>
          <w:rFonts w:ascii="Calibri" w:hAnsi="Calibri"/>
        </w:rPr>
        <w:t xml:space="preserve">With output bias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f</m:t>
            </m:r>
          </m:e>
        </m:box>
      </m:oMath>
      <w:r>
        <w:rPr>
          <w:rFonts w:ascii="Calibri" w:hAnsi="Calibri"/>
        </w:rPr>
        <w:t xml:space="preserve">: the bias absorbs </w:t>
      </w:r>
      <m:oMath>
        <m:box>
          <m:boxPr>
            <m:ctrlPr>
              <w:rPr>
                <w:rFonts w:ascii="Cambria Math" w:hAnsi="Cambria Math"/>
              </w:rPr>
            </m:ctrlPr>
          </m:boxPr>
          <m:e>
            <m:r>
              <w:rPr>
                <w:rFonts w:ascii="Cambria Math" w:hAnsi="Cambria Math"/>
              </w:rPr>
              <m:t>f</m:t>
            </m:r>
          </m:e>
        </m:box>
      </m:oMath>
      <w:r>
        <w:rPr>
          <w:rFonts w:ascii="Calibri" w:hAnsi="Calibri"/>
        </w:rPr>
        <w:t xml:space="preserve"> exactly. The dynamics only need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All </w:t>
      </w:r>
      <m:oMath>
        <m:box>
          <m:boxPr>
            <m:ctrlPr>
              <w:rPr>
                <w:rFonts w:ascii="Cambria Math" w:hAnsi="Cambria Math"/>
              </w:rPr>
            </m:ctrlPr>
          </m:boxPr>
          <m:e>
            <m:r>
              <w:rPr>
                <w:rFonts w:ascii="Cambria Math" w:hAnsi="Cambria Math"/>
              </w:rPr>
              <m:t>d</m:t>
            </m:r>
          </m:e>
        </m:box>
      </m:oMath>
      <w:r>
        <w:rPr>
          <w:rFonts w:ascii="Calibri" w:hAnsi="Calibri"/>
        </w:rPr>
        <w:t xml:space="preserve"> dimensions can then serve semantic content.</w:t>
      </w:r>
    </w:p>
    <w:p w14:paraId="11C0E332" w14:textId="77777777" w:rsidR="00455F66" w:rsidRDefault="00000000">
      <w:pPr>
        <w:spacing w:after="120"/>
      </w:pPr>
      <w:r>
        <w:rPr>
          <w:rFonts w:ascii="Calibri" w:hAnsi="Calibri"/>
        </w:rPr>
        <w:t xml:space="preserve">Let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f</m:t>
            </m:r>
          </m:e>
        </m:box>
      </m:oMath>
      <w:r>
        <w:rPr>
          <w:rFonts w:ascii="Calibri" w:hAnsi="Calibri"/>
        </w:rPr>
        <w:t xml:space="preserve"> be the component of </w:t>
      </w:r>
      <m:oMath>
        <m:box>
          <m:boxPr>
            <m:ctrlPr>
              <w:rPr>
                <w:rFonts w:ascii="Cambria Math" w:hAnsi="Cambria Math"/>
              </w:rPr>
            </m:ctrlPr>
          </m:boxPr>
          <m:e>
            <m:r>
              <w:rPr>
                <w:rFonts w:ascii="Cambria Math" w:hAnsi="Cambria Math"/>
              </w:rPr>
              <m:t>f</m:t>
            </m:r>
          </m:e>
        </m:box>
      </m:oMath>
      <w:r>
        <w:rPr>
          <w:rFonts w:ascii="Calibri" w:hAnsi="Calibri"/>
        </w:rPr>
        <w:t xml:space="preserve"> in the column space of </w:t>
      </w:r>
      <m:oMath>
        <m:box>
          <m:boxPr>
            <m:ctrlPr>
              <w:rPr>
                <w:rFonts w:ascii="Cambria Math" w:hAnsi="Cambria Math"/>
              </w:rPr>
            </m:ctrlPr>
          </m:boxPr>
          <m:e>
            <m:r>
              <w:rPr>
                <w:rFonts w:ascii="Cambria Math" w:hAnsi="Cambria Math"/>
              </w:rPr>
              <m:t>E</m:t>
            </m:r>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oMath>
      <w:r>
        <w:rPr>
          <w:rFonts w:ascii="Calibri" w:hAnsi="Calibri"/>
        </w:rPr>
        <w:t xml:space="preserve"> the residual. The model loses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oMath>
      <w:r>
        <w:rPr>
          <w:rFonts w:ascii="Calibri" w:hAnsi="Calibri"/>
        </w:rPr>
        <w:t xml:space="preserve"> as irreducible </w:t>
      </w:r>
      <w:r w:rsidR="00C700AB">
        <w:rPr>
          <w:rFonts w:ascii="Calibri" w:hAnsi="Calibri"/>
        </w:rPr>
        <w:t>error and</w:t>
      </w:r>
      <w:r>
        <w:rPr>
          <w:rFonts w:ascii="Calibri" w:hAnsi="Calibri"/>
        </w:rPr>
        <w:t xml:space="preserve"> uses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rank</m:t>
                </m:r>
              </m:e>
            </m:box>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proj</m:t>
                    </m:r>
                  </m:e>
                </m:box>
              </m:e>
              <m:sub>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e>
        </m:box>
      </m:oMath>
      <w:r>
        <w:rPr>
          <w:rFonts w:ascii="Calibri" w:hAnsi="Calibri"/>
        </w:rPr>
        <w:t xml:space="preserve"> effective dimensions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encode the frequency prior, reducing capacity for contextual information.</w:t>
      </w:r>
    </w:p>
    <w:p w14:paraId="2FD8C0C5" w14:textId="77777777" w:rsidR="00455F66" w:rsidRDefault="00000000">
      <w:pPr>
        <w:spacing w:after="120"/>
      </w:pPr>
      <w:r>
        <w:rPr>
          <w:rFonts w:ascii="Calibri" w:hAnsi="Calibri"/>
        </w:rPr>
        <w:t xml:space="preserve">On OpenWebText with a Zipfian distribution, </w:t>
      </w:r>
      <m:oMath>
        <m:box>
          <m:boxPr>
            <m:ctrlPr>
              <w:rPr>
                <w:rFonts w:ascii="Cambria Math" w:hAnsi="Cambria Math"/>
              </w:rPr>
            </m:ctrlPr>
          </m:boxPr>
          <m:e>
            <m:r>
              <w:rPr>
                <w:rFonts w:ascii="Cambria Math" w:hAnsi="Cambria Math"/>
              </w:rPr>
              <m:t>f</m:t>
            </m:r>
          </m:e>
        </m:box>
      </m:oMath>
      <w:r>
        <w:rPr>
          <w:rFonts w:ascii="Calibri" w:hAnsi="Calibri"/>
        </w:rPr>
        <w:t xml:space="preserve"> has a high dynamic range (~14 nats). Its projection onto the top singular vectors of </w:t>
      </w:r>
      <m:oMath>
        <m:box>
          <m:boxPr>
            <m:ctrlPr>
              <w:rPr>
                <w:rFonts w:ascii="Cambria Math" w:hAnsi="Cambria Math"/>
              </w:rPr>
            </m:ctrlPr>
          </m:boxPr>
          <m:e>
            <m:r>
              <w:rPr>
                <w:rFonts w:ascii="Cambria Math" w:hAnsi="Cambria Math"/>
              </w:rPr>
              <m:t>E</m:t>
            </m:r>
          </m:e>
        </m:box>
      </m:oMath>
      <w:r>
        <w:rPr>
          <w:rFonts w:ascii="Calibri" w:hAnsi="Calibri"/>
        </w:rPr>
        <w:t xml:space="preserve"> (which capture semantic directions, not frequency) is poor, making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e>
        </m:box>
      </m:oMath>
      <w:r>
        <w:rPr>
          <w:rFonts w:ascii="Calibri" w:hAnsi="Calibri"/>
        </w:rPr>
        <w:t xml:space="preserve"> large and the capacity cost significant.</w:t>
      </w:r>
    </w:p>
    <w:p w14:paraId="2968039C" w14:textId="77777777" w:rsidR="00455F66" w:rsidRDefault="00000000">
      <w:pPr>
        <w:pStyle w:val="Heading3"/>
        <w:spacing w:after="120"/>
      </w:pPr>
      <w:bookmarkStart w:id="79" w:name="_Toc240119427"/>
      <w:r>
        <w:rPr>
          <w:rFonts w:ascii="Calibri" w:hAnsi="Calibri"/>
          <w:sz w:val="19"/>
        </w:rPr>
        <w:t>5. Gradient conflict for rare tokens</w:t>
      </w:r>
      <w:bookmarkEnd w:id="79"/>
    </w:p>
    <w:p w14:paraId="165F3A70" w14:textId="77777777" w:rsidR="00455F66" w:rsidRDefault="00000000">
      <w:pPr>
        <w:spacing w:after="120"/>
      </w:pPr>
      <w:r>
        <w:rPr>
          <w:rFonts w:ascii="Calibri" w:hAnsi="Calibri"/>
        </w:rPr>
        <w:t xml:space="preserve">For a token </w:t>
      </w:r>
      <m:oMath>
        <m:box>
          <m:boxPr>
            <m:ctrlPr>
              <w:rPr>
                <w:rFonts w:ascii="Cambria Math" w:hAnsi="Cambria Math"/>
              </w:rPr>
            </m:ctrlPr>
          </m:boxPr>
          <m:e>
            <m:r>
              <w:rPr>
                <w:rFonts w:ascii="Cambria Math" w:hAnsi="Cambria Math"/>
              </w:rPr>
              <m:t>v</m:t>
            </m:r>
          </m:e>
        </m:box>
      </m:oMath>
      <w:r>
        <w:rPr>
          <w:rFonts w:ascii="Calibri" w:hAnsi="Calibri"/>
        </w:rPr>
        <w:t xml:space="preserve"> with corpus count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embedding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receives two types of gradient.</w:t>
      </w:r>
    </w:p>
    <w:p w14:paraId="5E518818" w14:textId="77777777" w:rsidR="00455F66" w:rsidRDefault="00000000">
      <w:pPr>
        <w:spacing w:after="120"/>
      </w:pPr>
      <w:r>
        <w:rPr>
          <w:rFonts w:ascii="Calibri" w:hAnsi="Calibri"/>
        </w:rPr>
        <w:t xml:space="preserve">Input gradient (when </w:t>
      </w:r>
      <m:oMath>
        <m:box>
          <m:boxPr>
            <m:ctrlPr>
              <w:rPr>
                <w:rFonts w:ascii="Cambria Math" w:hAnsi="Cambria Math"/>
              </w:rPr>
            </m:ctrlPr>
          </m:boxPr>
          <m:e>
            <m:r>
              <w:rPr>
                <w:rFonts w:ascii="Cambria Math" w:hAnsi="Cambria Math"/>
              </w:rPr>
              <m:t>v</m:t>
            </m:r>
          </m:e>
        </m:box>
      </m:oMath>
      <w:r>
        <w:rPr>
          <w:rFonts w:ascii="Calibri" w:hAnsi="Calibri"/>
        </w:rPr>
        <w:t xml:space="preserve"> appears at input position </w:t>
      </w:r>
      <m:oMath>
        <m:box>
          <m:boxPr>
            <m:ctrlPr>
              <w:rPr>
                <w:rFonts w:ascii="Cambria Math" w:hAnsi="Cambria Math"/>
              </w:rPr>
            </m:ctrlPr>
          </m:boxPr>
          <m:e>
            <m:r>
              <w:rPr>
                <w:rFonts w:ascii="Cambria Math" w:hAnsi="Cambria Math"/>
              </w:rPr>
              <m:t>s</m:t>
            </m:r>
          </m:e>
        </m:box>
      </m:oMath>
      <w:r>
        <w:rPr>
          <w:rFonts w:ascii="Calibri" w:hAnsi="Calibri"/>
        </w:rPr>
        <w:t>):</w:t>
      </w:r>
    </w:p>
    <w:p w14:paraId="78DEDD67" w14:textId="77777777" w:rsidR="00455F66" w:rsidRDefault="00000000">
      <w:pPr>
        <w:spacing w:before="120" w:after="120"/>
        <w:jc w:val="center"/>
      </w:pPr>
      <m:oMath>
        <m:box>
          <m:boxPr>
            <m:ctrlPr>
              <w:rPr>
                <w:rFonts w:ascii="Cambria Math" w:hAnsi="Cambria Math"/>
              </w:rPr>
            </m:ctrlPr>
          </m:box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e>
                </m:d>
              </m:e>
              <m:sub>
                <m:r>
                  <m:rPr>
                    <m:sty m:val="p"/>
                  </m:rPr>
                  <w:rPr>
                    <w:rFonts w:ascii="Cambria Math" w:hAnsi="Cambria Math"/>
                  </w:rPr>
                  <m:t>input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box>
                          <m:boxPr>
                            <m:ctrlPr>
                              <w:rPr>
                                <w:rFonts w:ascii="Cambria Math" w:hAnsi="Cambria Math"/>
                              </w:rPr>
                            </m:ctrlPr>
                          </m:boxPr>
                          <m:e>
                            <m:r>
                              <m:rPr>
                                <m:sty m:val="p"/>
                              </m:rPr>
                              <w:rPr>
                                <w:rFonts w:ascii="Cambria Math" w:hAnsi="Cambria Math"/>
                              </w:rPr>
                              <m:t>(</m:t>
                            </m:r>
                            <m:r>
                              <w:rPr>
                                <w:rFonts w:ascii="Cambria Math" w:hAnsi="Cambria Math"/>
                              </w:rPr>
                              <m:t>s</m:t>
                            </m:r>
                            <m:r>
                              <m:rPr>
                                <m:sty m:val="p"/>
                              </m:rPr>
                              <w:rPr>
                                <w:rFonts w:ascii="Cambria Math" w:hAnsi="Cambria Math"/>
                              </w:rPr>
                              <m:t>)</m:t>
                            </m:r>
                          </m:e>
                        </m:box>
                      </m:sup>
                    </m:sSubSup>
                  </m:e>
                </m:box>
              </m:den>
            </m:f>
            <m:r>
              <m:rPr>
                <m:sty m:val="p"/>
              </m:rPr>
              <w:rPr>
                <w:rFonts w:ascii="Cambria Math" w:hAnsi="Cambria Math"/>
              </w:rPr>
              <m:t>(</m:t>
            </m:r>
            <m:r>
              <m:rPr>
                <m:nor/>
              </m:rPr>
              <m:t>backprop through the dynamics</m:t>
            </m:r>
            <m:r>
              <m:rPr>
                <m:sty m:val="p"/>
              </m:rPr>
              <w:rPr>
                <w:rFonts w:ascii="Cambria Math" w:hAnsi="Cambria Math"/>
              </w:rPr>
              <m:t>)</m:t>
            </m:r>
          </m:e>
        </m:box>
      </m:oMath>
      <w:r w:rsidR="00B40F70">
        <w:rPr>
          <w:rFonts w:eastAsiaTheme="minorEastAsia"/>
        </w:rPr>
        <w:t xml:space="preserve"> </w:t>
      </w:r>
    </w:p>
    <w:p w14:paraId="18E0ACB6"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 good starting point for the conservative dynamics — it wants tokens with similar contexts to have similar embeddings.</w:t>
      </w:r>
    </w:p>
    <w:p w14:paraId="7E4E71FE" w14:textId="77777777" w:rsidR="00455F66" w:rsidRDefault="00000000">
      <w:pPr>
        <w:spacing w:after="120"/>
      </w:pPr>
      <w:r>
        <w:t xml:space="preserve">Output gradient (over all positions </w:t>
      </w:r>
      <m:oMath>
        <m:box>
          <m:boxPr>
            <m:ctrlPr>
              <w:rPr>
                <w:rFonts w:ascii="Cambria Math" w:hAnsi="Cambria Math"/>
              </w:rPr>
            </m:ctrlPr>
          </m:boxPr>
          <m:e>
            <m:r>
              <w:rPr>
                <w:rFonts w:ascii="Cambria Math" w:hAnsi="Cambria Math"/>
              </w:rPr>
              <m:t>t</m:t>
            </m:r>
          </m:e>
        </m:box>
      </m:oMath>
      <w:r>
        <w:t xml:space="preserve">, not only when </w:t>
      </w:r>
      <m:oMath>
        <m:box>
          <m:boxPr>
            <m:ctrlPr>
              <w:rPr>
                <w:rFonts w:ascii="Cambria Math" w:hAnsi="Cambria Math"/>
              </w:rPr>
            </m:ctrlPr>
          </m:boxPr>
          <m:e>
            <m:r>
              <w:rPr>
                <w:rFonts w:ascii="Cambria Math" w:hAnsi="Cambria Math"/>
              </w:rPr>
              <m:t>v</m:t>
            </m:r>
          </m:e>
        </m:box>
      </m:oMath>
      <w:r>
        <w:t xml:space="preserve"> is the target):</w:t>
      </w:r>
    </w:p>
    <w:p w14:paraId="2278201A" w14:textId="77777777" w:rsidR="00455F66" w:rsidRDefault="00000000">
      <w:pPr>
        <w:spacing w:before="120" w:after="120"/>
        <w:jc w:val="center"/>
      </w:pPr>
      <m:oMathPara>
        <m:oMath>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output</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1</m:t>
                      </m:r>
                    </m:e>
                    <m:sub>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e>
                      </m:box>
                    </m:sub>
                  </m:sSub>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nary>
            </m:e>
          </m:box>
        </m:oMath>
      </m:oMathPara>
    </w:p>
    <w:p w14:paraId="75743E9D" w14:textId="77777777" w:rsidR="00455F66" w:rsidRDefault="00000000">
      <w:pPr>
        <w:spacing w:after="120"/>
      </w:pPr>
      <w:r>
        <w:t xml:space="preserve">The target terms pull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t xml:space="preserve"> toward alignment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t xml:space="preserve"> when </w:t>
      </w:r>
      <m:oMath>
        <m:box>
          <m:boxPr>
            <m:ctrlPr>
              <w:rPr>
                <w:rFonts w:ascii="Cambria Math" w:hAnsi="Cambria Math"/>
              </w:rPr>
            </m:ctrlPr>
          </m:boxPr>
          <m:e>
            <m:r>
              <w:rPr>
                <w:rFonts w:ascii="Cambria Math" w:hAnsi="Cambria Math"/>
              </w:rPr>
              <m:t>v</m:t>
            </m:r>
          </m:e>
        </m:box>
      </m:oMath>
      <w:r>
        <w:t xml:space="preserve"> should be predicted; the non-target terms </w:t>
      </w:r>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t xml:space="preserve"> push it away when the model still assigns mass to </w:t>
      </w:r>
      <m:oMath>
        <m:box>
          <m:boxPr>
            <m:ctrlPr>
              <w:rPr>
                <w:rFonts w:ascii="Cambria Math" w:hAnsi="Cambria Math"/>
              </w:rPr>
            </m:ctrlPr>
          </m:boxPr>
          <m:e>
            <m:r>
              <w:rPr>
                <w:rFonts w:ascii="Cambria Math" w:hAnsi="Cambria Math"/>
              </w:rPr>
              <m:t>v</m:t>
            </m:r>
          </m:e>
        </m:box>
      </m:oMath>
      <w:r>
        <w:t xml:space="preserve">. Restricting the sum to </w:t>
      </w:r>
      <m:oMath>
        <m:box>
          <m:boxPr>
            <m:ctrlPr>
              <w:rPr>
                <w:rFonts w:ascii="Cambria Math" w:hAnsi="Cambria Math"/>
              </w:rPr>
            </m:ctrlPr>
          </m:boxPr>
          <m:e>
            <m:r>
              <m:rPr>
                <m:sty m:val="p"/>
              </m:rPr>
              <w:rPr>
                <w:rFonts w:ascii="Cambria Math" w:hAnsi="Cambria Math"/>
              </w:rPr>
              <m:t>{</m:t>
            </m:r>
            <m:r>
              <w:rPr>
                <w:rFonts w:ascii="Cambria Math" w:hAnsi="Cambria Math"/>
              </w:rPr>
              <m:t>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e>
        </m:box>
      </m:oMath>
      <w:r>
        <w:t xml:space="preserve"> would drop the latter.</w:t>
      </w:r>
    </w:p>
    <w:p w14:paraId="0792FD95" w14:textId="77777777" w:rsidR="00455F66" w:rsidRDefault="00000000">
      <w:pPr>
        <w:spacing w:after="120"/>
      </w:pPr>
      <w:r>
        <w:rPr>
          <w:rFonts w:ascii="Calibri" w:hAnsi="Calibri"/>
        </w:rPr>
        <w:t xml:space="preserve">The total gradient for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over a training epoch is:</w:t>
      </w:r>
    </w:p>
    <w:p w14:paraId="2D16EA03"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sub>
              </m:sSub>
              <m:r>
                <w:rPr>
                  <w:rFonts w:ascii="Cambria Math" w:hAnsi="Cambria Math"/>
                </w:rPr>
                <m:t>L</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v</m:t>
                      </m:r>
                    </m:e>
                  </m:box>
                </m:sub>
                <m:sup/>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input</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output</m:t>
                              </m:r>
                              <m:r>
                                <m:rPr>
                                  <m:sty m:val="p"/>
                                </m:rPr>
                                <w:rPr>
                                  <w:rFonts w:ascii="Cambria Math" w:hAnsi="Cambria Math"/>
                                </w:rPr>
                                <m:t>,</m:t>
                              </m:r>
                              <m:r>
                                <w:rPr>
                                  <w:rFonts w:ascii="Cambria Math" w:hAnsi="Cambria Math"/>
                                </w:rPr>
                                <m:t>t</m:t>
                              </m:r>
                            </m:e>
                          </m:box>
                        </m:sub>
                      </m:sSub>
                    </m:e>
                  </m:nary>
                </m:e>
              </m:nary>
            </m:e>
          </m:box>
        </m:oMath>
      </m:oMathPara>
    </w:p>
    <w:p w14:paraId="631C475C" w14:textId="77777777" w:rsidR="00455F66" w:rsidRDefault="00000000">
      <w:pPr>
        <w:spacing w:after="120"/>
      </w:pPr>
      <w:r>
        <w:rPr>
          <w:rFonts w:ascii="Calibri" w:hAnsi="Calibri"/>
        </w:rPr>
        <w:t>Frequent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large): both sums have many terms, the compromise direction is statistically well-determined, and the cosine similarity between the input-optimal and output-optimal directions averages out to something workable.</w:t>
      </w:r>
    </w:p>
    <w:p w14:paraId="4EEA7F32" w14:textId="77777777" w:rsidR="00455F66" w:rsidRDefault="00000000">
      <w:pPr>
        <w:spacing w:after="120"/>
      </w:pPr>
      <w:r>
        <w:rPr>
          <w:rFonts w:ascii="Calibri" w:hAnsi="Calibri"/>
        </w:rPr>
        <w:t>Rare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small): both sums have few terms. The input gradient and output gradient point in essentially unrelated directions (one is determined by the dynamics Jacobian, the other by the final hidden state). Their sum is a noisy, poorly determined compromise. The resulting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suboptimal for both roles.</w:t>
      </w:r>
    </w:p>
    <w:p w14:paraId="151E74C9" w14:textId="77777777" w:rsidR="00455F66" w:rsidRDefault="00000000">
      <w:pPr>
        <w:spacing w:after="120"/>
      </w:pPr>
      <w:r>
        <w:rPr>
          <w:rFonts w:ascii="Calibri" w:hAnsi="Calibri"/>
        </w:rPr>
        <w:t xml:space="preserve">Quantitatively: the effective gradient signal-to-noise ratio (SNR) scales as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e>
                </m:box>
              </m:e>
            </m:rad>
          </m:e>
        </m:box>
      </m:oMath>
      <w:r>
        <w:rPr>
          <w:rFonts w:ascii="Calibri" w:hAnsi="Calibri"/>
        </w:rPr>
        <w:t>. For the rarest quintile Q0 on OpenWebText, the median token count is ~229 over 200M tokens, while the most frequent quintile Q4 has median count ~180,000:</w:t>
      </w:r>
    </w:p>
    <w:p w14:paraId="4C7311C5"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4</m:t>
                              </m:r>
                            </m:e>
                          </m:box>
                        </m:sub>
                      </m:sSub>
                    </m:e>
                  </m:box>
                </m:num>
                <m:den>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0</m:t>
                              </m:r>
                            </m:e>
                          </m:box>
                        </m:sub>
                      </m:sSub>
                    </m:e>
                  </m:box>
                </m:den>
              </m:f>
              <m:r>
                <w:rPr>
                  <w:rFonts w:ascii="Cambria Math" w:hAnsi="Cambria Math"/>
                </w:rPr>
                <m:t>~</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180000</m:t>
                                  </m:r>
                                </m:e>
                              </m:box>
                            </m:e>
                          </m:box>
                        </m:e>
                      </m:rad>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229</m:t>
                                  </m:r>
                                </m:e>
                              </m:box>
                            </m:e>
                          </m:box>
                        </m:e>
                      </m:rad>
                    </m:e>
                  </m:box>
                </m:den>
              </m:f>
              <m:r>
                <m:rPr>
                  <m:sty m:val="p"/>
                </m:rPr>
                <w:rPr>
                  <w:rFonts w:ascii="Cambria Math" w:hAnsi="Cambria Math"/>
                </w:rPr>
                <m:t>≈28×</m:t>
              </m:r>
            </m:e>
          </m:box>
        </m:oMath>
      </m:oMathPara>
    </w:p>
    <w:p w14:paraId="757D88BB" w14:textId="77777777" w:rsidR="00455F66" w:rsidRDefault="00000000">
      <w:pPr>
        <w:pStyle w:val="Heading3"/>
        <w:spacing w:after="120"/>
      </w:pPr>
      <w:bookmarkStart w:id="80" w:name="_Toc240119428"/>
      <w:r>
        <w:rPr>
          <w:rFonts w:ascii="Calibri" w:hAnsi="Calibri"/>
          <w:sz w:val="19"/>
        </w:rPr>
        <w:t>6. A lower bound on the excess CE from tying</w:t>
      </w:r>
      <w:bookmarkEnd w:id="80"/>
    </w:p>
    <w:p w14:paraId="6BF369CA" w14:textId="77777777" w:rsidR="00455F66" w:rsidRDefault="00000000">
      <w:pPr>
        <w:spacing w:after="120"/>
      </w:pPr>
      <w:r>
        <w:rPr>
          <w:rFonts w:ascii="Calibri" w:hAnsi="Calibri"/>
        </w:rPr>
        <w:t xml:space="preserve">The </w:t>
      </w:r>
      <w:r w:rsidRPr="00B94583">
        <w:rPr>
          <w:rFonts w:ascii="Consolas" w:hAnsi="Consolas" w:cs="Consolas"/>
          <w:sz w:val="17"/>
          <w:szCs w:val="17"/>
        </w:rPr>
        <w:t>Q0</w:t>
      </w:r>
      <w:r>
        <w:rPr>
          <w:rFonts w:ascii="Calibri" w:hAnsi="Calibri"/>
        </w:rPr>
        <w:t xml:space="preserve"> embeddings are ~28× noisier than </w:t>
      </w:r>
      <w:r w:rsidRPr="00B94583">
        <w:rPr>
          <w:rFonts w:ascii="Consolas" w:hAnsi="Consolas" w:cs="Consolas"/>
          <w:sz w:val="17"/>
          <w:szCs w:val="17"/>
        </w:rPr>
        <w:t>Q4</w:t>
      </w:r>
      <w:r>
        <w:rPr>
          <w:rFonts w:ascii="Calibri" w:hAnsi="Calibri"/>
        </w:rPr>
        <w:t>, and this noise propagates to both the input representation quality and the output scoring quality simultaneously.</w:t>
      </w:r>
    </w:p>
    <w:p w14:paraId="742E4DF6" w14:textId="77777777" w:rsidR="00455F66" w:rsidRDefault="00000000">
      <w:pPr>
        <w:spacing w:after="120"/>
      </w:pPr>
      <w:r>
        <w:rPr>
          <w:rFonts w:ascii="Calibri" w:hAnsi="Calibri"/>
        </w:rPr>
        <w:lastRenderedPageBreak/>
        <w:t xml:space="preserve">With untied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the output row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receives only the output gradient — no interference from the input role. Even with the same small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gradient direction is unambiguous (always some scalar times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so the embedding converges to a clean output direction despite few updates.</w:t>
      </w:r>
    </w:p>
    <w:p w14:paraId="2F71BFA5" w14:textId="77777777" w:rsidR="00455F66" w:rsidRDefault="00000000">
      <w:pPr>
        <w:spacing w:after="120"/>
      </w:pPr>
      <w:r>
        <w:rPr>
          <w:rFonts w:ascii="Calibri" w:hAnsi="Calibri"/>
        </w:rPr>
        <w:t>Combining the above, the expected excess cross-entropy from tying can be bounded as:</w:t>
      </w:r>
    </w:p>
    <w:p w14:paraId="39D1D85C"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ΔC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m:oMathPara>
    </w:p>
    <w:p w14:paraId="42661CD6" w14:textId="77777777" w:rsidR="00455F66" w:rsidRDefault="00000000">
      <w:pPr>
        <w:spacing w:after="120"/>
      </w:pPr>
      <w:r>
        <w:rPr>
          <w:rFonts w:ascii="Calibri" w:hAnsi="Calibri"/>
        </w:rPr>
        <w:t>where:</w:t>
      </w:r>
    </w:p>
    <w:p w14:paraId="626D084B"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E</m:t>
                  </m:r>
                </m:e>
                <m:sub>
                  <m:r>
                    <w:rPr>
                      <w:rFonts w:ascii="Cambria Math" w:hAnsi="Cambria Math"/>
                    </w:rPr>
                    <m:t>c</m:t>
                  </m:r>
                </m:sub>
              </m:sSub>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e>
              </m:d>
              <m:r>
                <m:rPr>
                  <m:sty m:val="p"/>
                </m:rPr>
                <w:rPr>
                  <w:rFonts w:ascii="Cambria Math" w:hAnsi="Cambria Math"/>
                </w:rPr>
                <m:t>≥0</m:t>
              </m:r>
            </m:e>
          </m:box>
        </m:oMath>
      </m:oMathPara>
    </w:p>
    <w:p w14:paraId="0BE41B3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·1[</m:t>
              </m:r>
              <m:r>
                <m:rPr>
                  <m:nor/>
                </m:rPr>
                <m:t>no bias</m:t>
              </m:r>
              <m:r>
                <m:rPr>
                  <m:sty m:val="p"/>
                </m:rPr>
                <w:rPr>
                  <w:rFonts w:ascii="Cambria Math" w:hAnsi="Cambria Math"/>
                </w:rPr>
                <m:t>]</m:t>
              </m:r>
            </m:e>
          </m:box>
        </m:oMath>
      </m:oMathPara>
    </w:p>
    <w:p w14:paraId="48F3B02B"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rare</m:t>
                          </m:r>
                        </m:e>
                      </m:box>
                    </m:e>
                  </m:box>
                </m:sub>
                <m:sup/>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Var</m:t>
                              </m:r>
                            </m:e>
                          </m:box>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den>
                  </m:f>
                </m:e>
              </m:nary>
            </m:e>
          </m:box>
        </m:oMath>
      </m:oMathPara>
    </w:p>
    <w:p w14:paraId="47BA3025" w14:textId="77777777" w:rsidR="00455F66" w:rsidRDefault="00000000">
      <w:pPr>
        <w:spacing w:after="120"/>
      </w:pPr>
      <w:r>
        <w:rPr>
          <w:rFonts w:ascii="Calibri" w:hAnsi="Calibri"/>
        </w:rPr>
        <w:t xml:space="preserve">The first two terms are deterministic geometry; the third is a statistical penalty that grows as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for rare tokens.</w:t>
      </w:r>
    </w:p>
    <w:p w14:paraId="4CD5E311" w14:textId="77777777" w:rsidR="00455F66" w:rsidRDefault="00000000">
      <w:pPr>
        <w:pStyle w:val="Heading3"/>
        <w:spacing w:after="120"/>
      </w:pPr>
      <w:bookmarkStart w:id="81" w:name="_Toc240119429"/>
      <w:r>
        <w:rPr>
          <w:rFonts w:ascii="Calibri" w:hAnsi="Calibri"/>
          <w:sz w:val="19"/>
        </w:rPr>
        <w:t>7. Why this is worse for Fock-PARFLM than for transformers</w:t>
      </w:r>
      <w:bookmarkEnd w:id="81"/>
    </w:p>
    <w:p w14:paraId="4474E508" w14:textId="77777777" w:rsidR="00455F66" w:rsidRDefault="00000000">
      <w:pPr>
        <w:spacing w:after="120"/>
      </w:pPr>
      <w:r>
        <w:rPr>
          <w:rFonts w:ascii="Calibri" w:hAnsi="Calibri"/>
        </w:rPr>
        <w:t xml:space="preserve">Standard transformers have high per-layer capacity through multi-head attention and feed-forward networks, allowing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adapt to multiple roles. In contrast, Fock-PARFLM is constrained by conservative scalar potentials where a single scalar function is shared across all layers,</w:t>
      </w:r>
    </w:p>
    <w:p w14:paraId="53834649"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ϕ</m:t>
                      </m:r>
                    </m:e>
                  </m:box>
                </m:sub>
              </m:sSub>
            </m:e>
          </m:box>
        </m:oMath>
      </m:oMathPara>
    </w:p>
    <w:p w14:paraId="6E2C4B50" w14:textId="77777777" w:rsidR="00455F66" w:rsidRDefault="00000000">
      <w:pPr>
        <w:spacing w:after="120"/>
      </w:pPr>
      <w:r>
        <w:rPr>
          <w:rFonts w:ascii="Calibri" w:hAnsi="Calibri"/>
        </w:rPr>
        <w:t>leaving less “slack” in the hidden state and a larger frequency-prior encoding burden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e>
        </m:box>
      </m:oMath>
      <w:r>
        <w:rPr>
          <w:rFonts w:ascii="Calibri" w:hAnsi="Calibri"/>
        </w:rPr>
        <w:t xml:space="preserve">). Furthermore, the use of gathered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with a small top_k (= 8) limits context visibility compared to transformers.</w:t>
      </w:r>
    </w:p>
    <w:p w14:paraId="34523260" w14:textId="77777777" w:rsidR="00455F66" w:rsidRDefault="00000000">
      <w:pPr>
        <w:pStyle w:val="Heading3"/>
        <w:spacing w:after="120"/>
      </w:pPr>
      <w:bookmarkStart w:id="82" w:name="_Toc240119430"/>
      <w:r>
        <w:rPr>
          <w:rFonts w:ascii="Calibri" w:hAnsi="Calibri"/>
          <w:sz w:val="19"/>
        </w:rPr>
        <w:t>8. Connection to D0.4</w:t>
      </w:r>
      <w:bookmarkEnd w:id="82"/>
    </w:p>
    <w:p w14:paraId="50635F85" w14:textId="77777777" w:rsidR="00455F66" w:rsidRDefault="00000000">
      <w:pPr>
        <w:spacing w:after="120"/>
      </w:pPr>
      <w:r>
        <w:rPr>
          <w:rFonts w:ascii="Calibri" w:hAnsi="Calibri"/>
        </w:rPr>
        <w:t>The diagnostic measured CE by frequency quintile:</w:t>
      </w:r>
    </w:p>
    <w:tbl>
      <w:tblPr>
        <w:tblStyle w:val="TableGrid"/>
        <w:tblW w:w="0" w:type="auto"/>
        <w:tblLook w:val="04A0" w:firstRow="1" w:lastRow="0" w:firstColumn="1" w:lastColumn="0" w:noHBand="0" w:noVBand="1"/>
      </w:tblPr>
      <w:tblGrid>
        <w:gridCol w:w="2338"/>
        <w:gridCol w:w="2337"/>
        <w:gridCol w:w="2337"/>
        <w:gridCol w:w="2338"/>
      </w:tblGrid>
      <w:tr w:rsidR="00455F66" w14:paraId="69D95967" w14:textId="77777777">
        <w:tc>
          <w:tcPr>
            <w:tcW w:w="2340" w:type="dxa"/>
          </w:tcPr>
          <w:p w14:paraId="0F545892" w14:textId="77777777" w:rsidR="00455F66" w:rsidRDefault="00000000">
            <w:r>
              <w:rPr>
                <w:rFonts w:ascii="Calibri" w:hAnsi="Calibri"/>
                <w:b/>
                <w:sz w:val="17"/>
              </w:rPr>
              <w:t>Quintile</w:t>
            </w:r>
          </w:p>
        </w:tc>
        <w:tc>
          <w:tcPr>
            <w:tcW w:w="2340" w:type="dxa"/>
          </w:tcPr>
          <w:p w14:paraId="31D6980E" w14:textId="77777777" w:rsidR="00455F66" w:rsidRDefault="00000000">
            <w:r>
              <w:rPr>
                <w:rFonts w:ascii="Calibri" w:hAnsi="Calibri"/>
                <w:b/>
                <w:sz w:val="17"/>
              </w:rPr>
              <w:t>Mean CE</w:t>
            </w:r>
          </w:p>
        </w:tc>
        <w:tc>
          <w:tcPr>
            <w:tcW w:w="2340" w:type="dxa"/>
          </w:tcPr>
          <w:p w14:paraId="109421B6" w14:textId="77777777" w:rsidR="00455F66" w:rsidRDefault="00000000">
            <w:r>
              <w:rPr>
                <w:rFonts w:ascii="Calibri" w:hAnsi="Calibri"/>
                <w:b/>
                <w:sz w:val="17"/>
              </w:rPr>
              <w:t>vs ln V = 10.83</w:t>
            </w:r>
          </w:p>
        </w:tc>
        <w:tc>
          <w:tcPr>
            <w:tcW w:w="2340" w:type="dxa"/>
          </w:tcPr>
          <w:p w14:paraId="1DDE07AE" w14:textId="77777777" w:rsidR="00455F66" w:rsidRDefault="00000000">
            <w:r>
              <w:rPr>
                <w:rFonts w:ascii="Calibri" w:hAnsi="Calibri"/>
                <w:b/>
                <w:sz w:val="17"/>
              </w:rPr>
              <w:t>Interpretation</w:t>
            </w:r>
          </w:p>
        </w:tc>
      </w:tr>
      <w:tr w:rsidR="00455F66" w14:paraId="4A4EC04E" w14:textId="77777777">
        <w:tc>
          <w:tcPr>
            <w:tcW w:w="2340" w:type="dxa"/>
          </w:tcPr>
          <w:p w14:paraId="5247B14A" w14:textId="77777777" w:rsidR="00455F66" w:rsidRDefault="00000000">
            <w:r>
              <w:rPr>
                <w:rFonts w:ascii="Calibri" w:hAnsi="Calibri"/>
                <w:sz w:val="17"/>
              </w:rPr>
              <w:t>Q0 (rarest)</w:t>
            </w:r>
          </w:p>
        </w:tc>
        <w:tc>
          <w:tcPr>
            <w:tcW w:w="2340" w:type="dxa"/>
          </w:tcPr>
          <w:p w14:paraId="23693ACD" w14:textId="77777777" w:rsidR="00455F66" w:rsidRDefault="00000000">
            <w:r>
              <w:rPr>
                <w:rFonts w:ascii="Calibri" w:hAnsi="Calibri"/>
                <w:sz w:val="17"/>
              </w:rPr>
              <w:t>13.16</w:t>
            </w:r>
          </w:p>
        </w:tc>
        <w:tc>
          <w:tcPr>
            <w:tcW w:w="2340" w:type="dxa"/>
          </w:tcPr>
          <w:p w14:paraId="170198ED" w14:textId="77777777" w:rsidR="00455F66" w:rsidRDefault="00000000">
            <w:r>
              <w:rPr>
                <w:rFonts w:ascii="Calibri" w:hAnsi="Calibri"/>
                <w:sz w:val="17"/>
              </w:rPr>
              <w:t>+2.33 above uniform</w:t>
            </w:r>
          </w:p>
        </w:tc>
        <w:tc>
          <w:tcPr>
            <w:tcW w:w="2340" w:type="dxa"/>
          </w:tcPr>
          <w:p w14:paraId="33547665" w14:textId="77777777" w:rsidR="00455F66" w:rsidRDefault="00000000">
            <w:r>
              <w:rPr>
                <w:rFonts w:ascii="Calibri" w:hAnsi="Calibri"/>
                <w:sz w:val="17"/>
              </w:rPr>
              <w:t>Δ_noise dominates</w:t>
            </w:r>
          </w:p>
        </w:tc>
      </w:tr>
      <w:tr w:rsidR="00455F66" w14:paraId="2578ABA9" w14:textId="77777777">
        <w:tc>
          <w:tcPr>
            <w:tcW w:w="2340" w:type="dxa"/>
          </w:tcPr>
          <w:p w14:paraId="4A345258" w14:textId="77777777" w:rsidR="00455F66" w:rsidRDefault="00000000">
            <w:r>
              <w:rPr>
                <w:rFonts w:ascii="Calibri" w:hAnsi="Calibri"/>
                <w:sz w:val="17"/>
              </w:rPr>
              <w:t>Q1</w:t>
            </w:r>
          </w:p>
        </w:tc>
        <w:tc>
          <w:tcPr>
            <w:tcW w:w="2340" w:type="dxa"/>
          </w:tcPr>
          <w:p w14:paraId="5447C3EC" w14:textId="77777777" w:rsidR="00455F66" w:rsidRDefault="00000000">
            <w:r>
              <w:rPr>
                <w:rFonts w:ascii="Calibri" w:hAnsi="Calibri"/>
                <w:sz w:val="17"/>
              </w:rPr>
              <w:t>11.49</w:t>
            </w:r>
          </w:p>
        </w:tc>
        <w:tc>
          <w:tcPr>
            <w:tcW w:w="2340" w:type="dxa"/>
          </w:tcPr>
          <w:p w14:paraId="60341949" w14:textId="77777777" w:rsidR="00455F66" w:rsidRDefault="00000000">
            <w:r>
              <w:rPr>
                <w:rFonts w:ascii="Calibri" w:hAnsi="Calibri"/>
                <w:sz w:val="17"/>
              </w:rPr>
              <w:t>+0.66 above uniform</w:t>
            </w:r>
          </w:p>
        </w:tc>
        <w:tc>
          <w:tcPr>
            <w:tcW w:w="2340" w:type="dxa"/>
          </w:tcPr>
          <w:p w14:paraId="49BAFC95" w14:textId="77777777" w:rsidR="00455F66" w:rsidRDefault="00000000">
            <w:r>
              <w:rPr>
                <w:rFonts w:ascii="Calibri" w:hAnsi="Calibri"/>
                <w:sz w:val="17"/>
              </w:rPr>
              <w:t>Δ_noise + Δ_freq</w:t>
            </w:r>
          </w:p>
        </w:tc>
      </w:tr>
      <w:tr w:rsidR="00455F66" w14:paraId="10F65479" w14:textId="77777777">
        <w:tc>
          <w:tcPr>
            <w:tcW w:w="2340" w:type="dxa"/>
          </w:tcPr>
          <w:p w14:paraId="215E2978" w14:textId="77777777" w:rsidR="00455F66" w:rsidRDefault="00000000">
            <w:r>
              <w:rPr>
                <w:rFonts w:ascii="Calibri" w:hAnsi="Calibri"/>
                <w:sz w:val="17"/>
              </w:rPr>
              <w:t>Q2</w:t>
            </w:r>
          </w:p>
        </w:tc>
        <w:tc>
          <w:tcPr>
            <w:tcW w:w="2340" w:type="dxa"/>
          </w:tcPr>
          <w:p w14:paraId="3469A77A" w14:textId="77777777" w:rsidR="00455F66" w:rsidRDefault="00000000">
            <w:r>
              <w:rPr>
                <w:rFonts w:ascii="Calibri" w:hAnsi="Calibri"/>
                <w:sz w:val="17"/>
              </w:rPr>
              <w:t>10.69</w:t>
            </w:r>
          </w:p>
        </w:tc>
        <w:tc>
          <w:tcPr>
            <w:tcW w:w="2340" w:type="dxa"/>
          </w:tcPr>
          <w:p w14:paraId="544AC6B7" w14:textId="77777777" w:rsidR="00455F66" w:rsidRDefault="00000000">
            <w:r>
              <w:rPr>
                <w:rFonts w:ascii="Calibri" w:hAnsi="Calibri"/>
                <w:sz w:val="17"/>
              </w:rPr>
              <w:t>~uniform</w:t>
            </w:r>
          </w:p>
        </w:tc>
        <w:tc>
          <w:tcPr>
            <w:tcW w:w="2340" w:type="dxa"/>
          </w:tcPr>
          <w:p w14:paraId="53B63AB0" w14:textId="77777777" w:rsidR="00455F66" w:rsidRDefault="00000000">
            <w:r>
              <w:rPr>
                <w:rFonts w:ascii="Calibri" w:hAnsi="Calibri"/>
                <w:sz w:val="17"/>
              </w:rPr>
              <w:t>break-even</w:t>
            </w:r>
          </w:p>
        </w:tc>
      </w:tr>
      <w:tr w:rsidR="00455F66" w14:paraId="479E9162" w14:textId="77777777">
        <w:tc>
          <w:tcPr>
            <w:tcW w:w="2340" w:type="dxa"/>
          </w:tcPr>
          <w:p w14:paraId="551353F6" w14:textId="77777777" w:rsidR="00455F66" w:rsidRDefault="00000000">
            <w:r>
              <w:rPr>
                <w:rFonts w:ascii="Calibri" w:hAnsi="Calibri"/>
                <w:sz w:val="17"/>
              </w:rPr>
              <w:t>Q3</w:t>
            </w:r>
          </w:p>
        </w:tc>
        <w:tc>
          <w:tcPr>
            <w:tcW w:w="2340" w:type="dxa"/>
          </w:tcPr>
          <w:p w14:paraId="6188F26F" w14:textId="77777777" w:rsidR="00455F66" w:rsidRDefault="00000000">
            <w:r>
              <w:rPr>
                <w:rFonts w:ascii="Calibri" w:hAnsi="Calibri"/>
                <w:sz w:val="17"/>
              </w:rPr>
              <w:t>8.16</w:t>
            </w:r>
          </w:p>
        </w:tc>
        <w:tc>
          <w:tcPr>
            <w:tcW w:w="2340" w:type="dxa"/>
          </w:tcPr>
          <w:p w14:paraId="5DC98602" w14:textId="77777777" w:rsidR="00455F66" w:rsidRDefault="00000000">
            <w:r>
              <w:rPr>
                <w:rFonts w:ascii="Calibri" w:hAnsi="Calibri"/>
                <w:sz w:val="17"/>
              </w:rPr>
              <w:t>below uniform</w:t>
            </w:r>
          </w:p>
        </w:tc>
        <w:tc>
          <w:tcPr>
            <w:tcW w:w="2340" w:type="dxa"/>
          </w:tcPr>
          <w:p w14:paraId="1726D3F8" w14:textId="77777777" w:rsidR="00455F66" w:rsidRDefault="00000000">
            <w:r>
              <w:rPr>
                <w:rFonts w:ascii="Calibri" w:hAnsi="Calibri"/>
                <w:sz w:val="17"/>
              </w:rPr>
              <w:t>gradient signal adequate</w:t>
            </w:r>
          </w:p>
        </w:tc>
      </w:tr>
      <w:tr w:rsidR="00455F66" w14:paraId="1E02992C" w14:textId="77777777">
        <w:tc>
          <w:tcPr>
            <w:tcW w:w="2340" w:type="dxa"/>
          </w:tcPr>
          <w:p w14:paraId="293C3099" w14:textId="77777777" w:rsidR="00455F66" w:rsidRDefault="00000000">
            <w:r>
              <w:rPr>
                <w:rFonts w:ascii="Calibri" w:hAnsi="Calibri"/>
                <w:sz w:val="17"/>
              </w:rPr>
              <w:t>Q4</w:t>
            </w:r>
          </w:p>
        </w:tc>
        <w:tc>
          <w:tcPr>
            <w:tcW w:w="2340" w:type="dxa"/>
          </w:tcPr>
          <w:p w14:paraId="052128D0" w14:textId="77777777" w:rsidR="00455F66" w:rsidRDefault="00000000">
            <w:r>
              <w:rPr>
                <w:rFonts w:ascii="Calibri" w:hAnsi="Calibri"/>
                <w:sz w:val="17"/>
              </w:rPr>
              <w:t>4.54</w:t>
            </w:r>
          </w:p>
        </w:tc>
        <w:tc>
          <w:tcPr>
            <w:tcW w:w="2340" w:type="dxa"/>
          </w:tcPr>
          <w:p w14:paraId="6427751F" w14:textId="77777777" w:rsidR="00455F66" w:rsidRDefault="00000000">
            <w:r>
              <w:rPr>
                <w:rFonts w:ascii="Calibri" w:hAnsi="Calibri"/>
                <w:sz w:val="17"/>
              </w:rPr>
              <w:t>well below</w:t>
            </w:r>
          </w:p>
        </w:tc>
        <w:tc>
          <w:tcPr>
            <w:tcW w:w="2340" w:type="dxa"/>
          </w:tcPr>
          <w:p w14:paraId="58C523FD" w14:textId="77777777" w:rsidR="00455F66" w:rsidRDefault="00000000">
            <w:r>
              <w:rPr>
                <w:rFonts w:ascii="Calibri" w:hAnsi="Calibri"/>
                <w:sz w:val="17"/>
              </w:rPr>
              <w:t>strong signal, but Δ_subspace still present</w:t>
            </w:r>
          </w:p>
        </w:tc>
      </w:tr>
    </w:tbl>
    <w:p w14:paraId="64BAF4EA" w14:textId="77777777" w:rsidR="00455F66" w:rsidRDefault="00455F66"/>
    <w:p w14:paraId="73529D3B" w14:textId="77777777" w:rsidR="00455F66" w:rsidRDefault="00000000">
      <w:pPr>
        <w:spacing w:after="120"/>
      </w:pPr>
      <w:r>
        <w:rPr>
          <w:rFonts w:ascii="Calibri" w:hAnsi="Calibri"/>
        </w:rPr>
        <w:t xml:space="preserve">The Q0 result, where </w:t>
      </w:r>
      <m:oMath>
        <m:box>
          <m:boxPr>
            <m:ctrlPr>
              <w:rPr>
                <w:rFonts w:ascii="Cambria Math" w:hAnsi="Cambria Math"/>
              </w:rPr>
            </m:ctrlPr>
          </m:boxPr>
          <m:e>
            <m:r>
              <w:rPr>
                <w:rFonts w:ascii="Cambria Math" w:hAnsi="Cambria Math"/>
              </w:rPr>
              <m:t>CE</m:t>
            </m:r>
            <m:r>
              <m:rPr>
                <m:sty m:val="p"/>
              </m:rPr>
              <w:rPr>
                <w:rFonts w:ascii="Cambria Math" w:hAnsi="Cambria Math"/>
              </w:rPr>
              <m:t>&gt;ln</m:t>
            </m:r>
            <m:r>
              <w:rPr>
                <w:rFonts w:ascii="Cambria Math" w:hAnsi="Cambria Math"/>
              </w:rPr>
              <m:t>V</m:t>
            </m:r>
          </m:e>
        </m:box>
      </m:oMath>
      <w:r>
        <w:rPr>
          <w:rFonts w:ascii="Calibri" w:hAnsi="Calibri"/>
        </w:rPr>
        <w:t>, is the signature of noise error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w:r>
        <w:rPr>
          <w:rFonts w:ascii="Calibri" w:hAnsi="Calibri"/>
        </w:rPr>
        <w:t xml:space="preserve">). Rare-token embeddings become noisy due to gradient interference, causing the model to assign less than uniform probability to them. This is mathematically impossible with a dedicated output direction, as any weight vector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with a weak positive correlation to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w:t>
      </w:r>
      <m:oMath>
        <m:box>
          <m:boxPr>
            <m:ctrlPr>
              <w:rPr>
                <w:rFonts w:ascii="Cambria Math" w:hAnsi="Cambria Math"/>
              </w:rPr>
            </m:ctrlPr>
          </m:boxPr>
          <m:e>
            <m:r>
              <w:rPr>
                <w:rFonts w:ascii="Cambria Math" w:hAnsi="Cambria Math"/>
              </w:rPr>
              <m:t>v</m:t>
            </m:r>
          </m:e>
        </m:box>
      </m:oMath>
      <w:r>
        <w:rPr>
          <w:rFonts w:ascii="Calibri" w:hAnsi="Calibri"/>
        </w:rPr>
        <w:t xml:space="preserve"> is the target) should perform better than uniform. The tied head’s gradient conflict is the sole mechanism for this worse-than-uniform calibration.</w:t>
      </w:r>
    </w:p>
    <w:sectPr w:rsidR="00455F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68066" w14:textId="77777777" w:rsidR="00693CFF" w:rsidRDefault="00693CFF" w:rsidP="002734A6">
      <w:pPr>
        <w:spacing w:line="240" w:lineRule="auto"/>
      </w:pPr>
      <w:r>
        <w:separator/>
      </w:r>
    </w:p>
  </w:endnote>
  <w:endnote w:type="continuationSeparator" w:id="0">
    <w:p w14:paraId="4415C914" w14:textId="77777777" w:rsidR="00693CFF" w:rsidRDefault="00693CFF" w:rsidP="002734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956DC" w14:textId="77777777" w:rsidR="00693CFF" w:rsidRDefault="00693CFF" w:rsidP="002734A6">
      <w:pPr>
        <w:spacing w:line="240" w:lineRule="auto"/>
      </w:pPr>
      <w:r>
        <w:separator/>
      </w:r>
    </w:p>
  </w:footnote>
  <w:footnote w:type="continuationSeparator" w:id="0">
    <w:p w14:paraId="39CDD497" w14:textId="77777777" w:rsidR="00693CFF" w:rsidRDefault="00693CFF" w:rsidP="002734A6">
      <w:pPr>
        <w:spacing w:line="240" w:lineRule="auto"/>
      </w:pPr>
      <w:r>
        <w:continuationSeparator/>
      </w:r>
    </w:p>
  </w:footnote>
  <w:footnote w:id="1">
    <w:p w14:paraId="5AC89913" w14:textId="77777777" w:rsidR="00C20D32" w:rsidRPr="00C20D32" w:rsidRDefault="002734A6" w:rsidP="00C20D32">
      <w:pPr>
        <w:rPr>
          <w:rFonts w:eastAsiaTheme="minorEastAsia"/>
        </w:rPr>
      </w:pPr>
      <w:r>
        <w:rPr>
          <w:rStyle w:val="FootnoteReference"/>
        </w:rPr>
        <w:footnoteRef/>
      </w:r>
      <w:r>
        <w:t xml:space="preserve"> </w:t>
      </w: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then looking at which tokens have the highest scores – those are the tokens the attractor represents semantically. For details see Appendix.</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1FA8"/>
    <w:multiLevelType w:val="hybridMultilevel"/>
    <w:tmpl w:val="87E854E2"/>
    <w:lvl w:ilvl="0" w:tplc="3C7600F2">
      <w:start w:val="1"/>
      <w:numFmt w:val="decimal"/>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1" w15:restartNumberingAfterBreak="0">
    <w:nsid w:val="43537BBA"/>
    <w:multiLevelType w:val="hybridMultilevel"/>
    <w:tmpl w:val="11AE84B8"/>
    <w:lvl w:ilvl="0" w:tplc="60E6B4E4">
      <w:start w:val="1"/>
      <w:numFmt w:val="bullet"/>
      <w:lvlText w:val="-"/>
      <w:lvlJc w:val="left"/>
      <w:pPr>
        <w:ind w:left="400" w:hanging="360"/>
      </w:pPr>
      <w:rPr>
        <w:rFonts w:ascii="Aptos" w:eastAsiaTheme="minorEastAsia" w:hAnsi="Aptos" w:cstheme="minorBidi" w:hint="default"/>
      </w:rPr>
    </w:lvl>
    <w:lvl w:ilvl="1" w:tplc="04090003" w:tentative="1">
      <w:start w:val="1"/>
      <w:numFmt w:val="bullet"/>
      <w:lvlText w:val="o"/>
      <w:lvlJc w:val="left"/>
      <w:pPr>
        <w:ind w:left="1120" w:hanging="360"/>
      </w:pPr>
      <w:rPr>
        <w:rFonts w:ascii="Courier New" w:hAnsi="Courier New" w:cs="Courier New" w:hint="default"/>
      </w:rPr>
    </w:lvl>
    <w:lvl w:ilvl="2" w:tplc="04090005" w:tentative="1">
      <w:start w:val="1"/>
      <w:numFmt w:val="bullet"/>
      <w:lvlText w:val=""/>
      <w:lvlJc w:val="left"/>
      <w:pPr>
        <w:ind w:left="1840" w:hanging="360"/>
      </w:pPr>
      <w:rPr>
        <w:rFonts w:ascii="Wingdings" w:hAnsi="Wingdings" w:hint="default"/>
      </w:rPr>
    </w:lvl>
    <w:lvl w:ilvl="3" w:tplc="04090001" w:tentative="1">
      <w:start w:val="1"/>
      <w:numFmt w:val="bullet"/>
      <w:lvlText w:val=""/>
      <w:lvlJc w:val="left"/>
      <w:pPr>
        <w:ind w:left="2560" w:hanging="360"/>
      </w:pPr>
      <w:rPr>
        <w:rFonts w:ascii="Symbol" w:hAnsi="Symbol" w:hint="default"/>
      </w:rPr>
    </w:lvl>
    <w:lvl w:ilvl="4" w:tplc="04090003" w:tentative="1">
      <w:start w:val="1"/>
      <w:numFmt w:val="bullet"/>
      <w:lvlText w:val="o"/>
      <w:lvlJc w:val="left"/>
      <w:pPr>
        <w:ind w:left="3280" w:hanging="360"/>
      </w:pPr>
      <w:rPr>
        <w:rFonts w:ascii="Courier New" w:hAnsi="Courier New" w:cs="Courier New" w:hint="default"/>
      </w:rPr>
    </w:lvl>
    <w:lvl w:ilvl="5" w:tplc="04090005" w:tentative="1">
      <w:start w:val="1"/>
      <w:numFmt w:val="bullet"/>
      <w:lvlText w:val=""/>
      <w:lvlJc w:val="left"/>
      <w:pPr>
        <w:ind w:left="4000" w:hanging="360"/>
      </w:pPr>
      <w:rPr>
        <w:rFonts w:ascii="Wingdings" w:hAnsi="Wingdings" w:hint="default"/>
      </w:rPr>
    </w:lvl>
    <w:lvl w:ilvl="6" w:tplc="04090001" w:tentative="1">
      <w:start w:val="1"/>
      <w:numFmt w:val="bullet"/>
      <w:lvlText w:val=""/>
      <w:lvlJc w:val="left"/>
      <w:pPr>
        <w:ind w:left="4720" w:hanging="360"/>
      </w:pPr>
      <w:rPr>
        <w:rFonts w:ascii="Symbol" w:hAnsi="Symbol" w:hint="default"/>
      </w:rPr>
    </w:lvl>
    <w:lvl w:ilvl="7" w:tplc="04090003" w:tentative="1">
      <w:start w:val="1"/>
      <w:numFmt w:val="bullet"/>
      <w:lvlText w:val="o"/>
      <w:lvlJc w:val="left"/>
      <w:pPr>
        <w:ind w:left="5440" w:hanging="360"/>
      </w:pPr>
      <w:rPr>
        <w:rFonts w:ascii="Courier New" w:hAnsi="Courier New" w:cs="Courier New" w:hint="default"/>
      </w:rPr>
    </w:lvl>
    <w:lvl w:ilvl="8" w:tplc="04090005" w:tentative="1">
      <w:start w:val="1"/>
      <w:numFmt w:val="bullet"/>
      <w:lvlText w:val=""/>
      <w:lvlJc w:val="left"/>
      <w:pPr>
        <w:ind w:left="6160" w:hanging="360"/>
      </w:pPr>
      <w:rPr>
        <w:rFonts w:ascii="Wingdings" w:hAnsi="Wingdings" w:hint="default"/>
      </w:rPr>
    </w:lvl>
  </w:abstractNum>
  <w:num w:numId="1" w16cid:durableId="689455139">
    <w:abstractNumId w:val="1"/>
  </w:num>
  <w:num w:numId="2" w16cid:durableId="1557349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E16"/>
    <w:rsid w:val="00007CF2"/>
    <w:rsid w:val="000112C9"/>
    <w:rsid w:val="00015D4D"/>
    <w:rsid w:val="000264BB"/>
    <w:rsid w:val="00037AA1"/>
    <w:rsid w:val="000577E5"/>
    <w:rsid w:val="00083CA0"/>
    <w:rsid w:val="000B467B"/>
    <w:rsid w:val="000D639D"/>
    <w:rsid w:val="00123139"/>
    <w:rsid w:val="0013026D"/>
    <w:rsid w:val="00131E5A"/>
    <w:rsid w:val="001512F1"/>
    <w:rsid w:val="001726C3"/>
    <w:rsid w:val="00176030"/>
    <w:rsid w:val="001A3DE5"/>
    <w:rsid w:val="001A7BF8"/>
    <w:rsid w:val="001D4D86"/>
    <w:rsid w:val="001E368C"/>
    <w:rsid w:val="001F70A2"/>
    <w:rsid w:val="00210ABE"/>
    <w:rsid w:val="00211ED5"/>
    <w:rsid w:val="00217FB7"/>
    <w:rsid w:val="00250622"/>
    <w:rsid w:val="002700AE"/>
    <w:rsid w:val="002734A6"/>
    <w:rsid w:val="0028631B"/>
    <w:rsid w:val="002868B1"/>
    <w:rsid w:val="0029499A"/>
    <w:rsid w:val="002B2C3A"/>
    <w:rsid w:val="002F2977"/>
    <w:rsid w:val="002F2AB3"/>
    <w:rsid w:val="002F2BCA"/>
    <w:rsid w:val="00300BB2"/>
    <w:rsid w:val="003055CA"/>
    <w:rsid w:val="00313271"/>
    <w:rsid w:val="003218B9"/>
    <w:rsid w:val="00360101"/>
    <w:rsid w:val="00367DA1"/>
    <w:rsid w:val="003A6D4C"/>
    <w:rsid w:val="003B3688"/>
    <w:rsid w:val="003B520C"/>
    <w:rsid w:val="003E3CAE"/>
    <w:rsid w:val="003F5E1B"/>
    <w:rsid w:val="003F6B85"/>
    <w:rsid w:val="00415E16"/>
    <w:rsid w:val="00417BBE"/>
    <w:rsid w:val="00431EF6"/>
    <w:rsid w:val="00436352"/>
    <w:rsid w:val="004418D3"/>
    <w:rsid w:val="00455F66"/>
    <w:rsid w:val="00487152"/>
    <w:rsid w:val="004B6DB0"/>
    <w:rsid w:val="004D6FDF"/>
    <w:rsid w:val="004F4384"/>
    <w:rsid w:val="005015AE"/>
    <w:rsid w:val="00506703"/>
    <w:rsid w:val="0053777D"/>
    <w:rsid w:val="0058622A"/>
    <w:rsid w:val="005A3A94"/>
    <w:rsid w:val="005B0C7E"/>
    <w:rsid w:val="005B31DF"/>
    <w:rsid w:val="005C1DCE"/>
    <w:rsid w:val="0060012E"/>
    <w:rsid w:val="006009A9"/>
    <w:rsid w:val="00625ABB"/>
    <w:rsid w:val="00635742"/>
    <w:rsid w:val="006463D6"/>
    <w:rsid w:val="006505AB"/>
    <w:rsid w:val="006618F7"/>
    <w:rsid w:val="00662B88"/>
    <w:rsid w:val="00673F0F"/>
    <w:rsid w:val="00680536"/>
    <w:rsid w:val="00693CFF"/>
    <w:rsid w:val="006C1B9A"/>
    <w:rsid w:val="006D3718"/>
    <w:rsid w:val="006D581F"/>
    <w:rsid w:val="007133CC"/>
    <w:rsid w:val="0073321C"/>
    <w:rsid w:val="007461EE"/>
    <w:rsid w:val="0075238C"/>
    <w:rsid w:val="00752E2E"/>
    <w:rsid w:val="00761975"/>
    <w:rsid w:val="0076273D"/>
    <w:rsid w:val="00764C7C"/>
    <w:rsid w:val="0077690E"/>
    <w:rsid w:val="00784AAC"/>
    <w:rsid w:val="007A13DC"/>
    <w:rsid w:val="007B69CC"/>
    <w:rsid w:val="007C488F"/>
    <w:rsid w:val="007D11E7"/>
    <w:rsid w:val="007E7CA4"/>
    <w:rsid w:val="007F316C"/>
    <w:rsid w:val="00803748"/>
    <w:rsid w:val="008054E3"/>
    <w:rsid w:val="00852827"/>
    <w:rsid w:val="00861F17"/>
    <w:rsid w:val="00863584"/>
    <w:rsid w:val="008665C9"/>
    <w:rsid w:val="00877E09"/>
    <w:rsid w:val="008A10A1"/>
    <w:rsid w:val="008A7142"/>
    <w:rsid w:val="008B7133"/>
    <w:rsid w:val="008E7C28"/>
    <w:rsid w:val="008F5AC6"/>
    <w:rsid w:val="00915108"/>
    <w:rsid w:val="00922629"/>
    <w:rsid w:val="009231F3"/>
    <w:rsid w:val="00930F59"/>
    <w:rsid w:val="00940171"/>
    <w:rsid w:val="00956717"/>
    <w:rsid w:val="00961DEB"/>
    <w:rsid w:val="009648DE"/>
    <w:rsid w:val="00990B46"/>
    <w:rsid w:val="00990BAB"/>
    <w:rsid w:val="009A0FD8"/>
    <w:rsid w:val="009A30D9"/>
    <w:rsid w:val="009B2909"/>
    <w:rsid w:val="009C3A87"/>
    <w:rsid w:val="009C586B"/>
    <w:rsid w:val="009D64FF"/>
    <w:rsid w:val="009E262D"/>
    <w:rsid w:val="009E4EFF"/>
    <w:rsid w:val="009F2B5D"/>
    <w:rsid w:val="00A02B48"/>
    <w:rsid w:val="00A07B26"/>
    <w:rsid w:val="00A44965"/>
    <w:rsid w:val="00A5148E"/>
    <w:rsid w:val="00A67B18"/>
    <w:rsid w:val="00A812A2"/>
    <w:rsid w:val="00AB1C88"/>
    <w:rsid w:val="00AB6F7E"/>
    <w:rsid w:val="00AC4A52"/>
    <w:rsid w:val="00AD1621"/>
    <w:rsid w:val="00AD2000"/>
    <w:rsid w:val="00AE2901"/>
    <w:rsid w:val="00AF49E2"/>
    <w:rsid w:val="00B07171"/>
    <w:rsid w:val="00B07FC0"/>
    <w:rsid w:val="00B35608"/>
    <w:rsid w:val="00B40F70"/>
    <w:rsid w:val="00B41D2A"/>
    <w:rsid w:val="00B44DE6"/>
    <w:rsid w:val="00B618DB"/>
    <w:rsid w:val="00B67CEA"/>
    <w:rsid w:val="00B73D3E"/>
    <w:rsid w:val="00B75822"/>
    <w:rsid w:val="00B77C0C"/>
    <w:rsid w:val="00B92BA0"/>
    <w:rsid w:val="00B94583"/>
    <w:rsid w:val="00BB5D22"/>
    <w:rsid w:val="00BC4DE7"/>
    <w:rsid w:val="00BD26B5"/>
    <w:rsid w:val="00BD6868"/>
    <w:rsid w:val="00BE14B4"/>
    <w:rsid w:val="00BE39A5"/>
    <w:rsid w:val="00BF1FB7"/>
    <w:rsid w:val="00C166DF"/>
    <w:rsid w:val="00C20D32"/>
    <w:rsid w:val="00C21E2A"/>
    <w:rsid w:val="00C2587E"/>
    <w:rsid w:val="00C53D61"/>
    <w:rsid w:val="00C700AB"/>
    <w:rsid w:val="00C93BBD"/>
    <w:rsid w:val="00C96E53"/>
    <w:rsid w:val="00CA71F4"/>
    <w:rsid w:val="00CB35EB"/>
    <w:rsid w:val="00CD07FF"/>
    <w:rsid w:val="00CE085D"/>
    <w:rsid w:val="00CE2406"/>
    <w:rsid w:val="00CF5125"/>
    <w:rsid w:val="00D02CC9"/>
    <w:rsid w:val="00D06DD7"/>
    <w:rsid w:val="00D13CA4"/>
    <w:rsid w:val="00D20131"/>
    <w:rsid w:val="00D5238E"/>
    <w:rsid w:val="00D8753C"/>
    <w:rsid w:val="00DB363A"/>
    <w:rsid w:val="00DD2D99"/>
    <w:rsid w:val="00DD511F"/>
    <w:rsid w:val="00DF27AB"/>
    <w:rsid w:val="00E04FD8"/>
    <w:rsid w:val="00E122E4"/>
    <w:rsid w:val="00E2285B"/>
    <w:rsid w:val="00E27954"/>
    <w:rsid w:val="00E32F8A"/>
    <w:rsid w:val="00E518F1"/>
    <w:rsid w:val="00E54896"/>
    <w:rsid w:val="00E56717"/>
    <w:rsid w:val="00E814D1"/>
    <w:rsid w:val="00E91A9D"/>
    <w:rsid w:val="00E961AB"/>
    <w:rsid w:val="00EA417D"/>
    <w:rsid w:val="00EB1005"/>
    <w:rsid w:val="00EB7C33"/>
    <w:rsid w:val="00EE172C"/>
    <w:rsid w:val="00EE632C"/>
    <w:rsid w:val="00EE6756"/>
    <w:rsid w:val="00EF282D"/>
    <w:rsid w:val="00F15FDA"/>
    <w:rsid w:val="00F22472"/>
    <w:rsid w:val="00F30CFF"/>
    <w:rsid w:val="00F35174"/>
    <w:rsid w:val="00F42A4B"/>
    <w:rsid w:val="00F4739C"/>
    <w:rsid w:val="00F509E9"/>
    <w:rsid w:val="00F51B0A"/>
    <w:rsid w:val="00F5632F"/>
    <w:rsid w:val="00F81C50"/>
    <w:rsid w:val="00F91513"/>
    <w:rsid w:val="00FB61F3"/>
    <w:rsid w:val="00FB6580"/>
    <w:rsid w:val="00FF23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4F42CDB"/>
  <w15:chartTrackingRefBased/>
  <w15:docId w15:val="{28CACED6-98B1-654A-B557-961184541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68C"/>
    <w:pPr>
      <w:spacing w:after="0"/>
    </w:pPr>
    <w:rPr>
      <w:sz w:val="19"/>
    </w:rPr>
  </w:style>
  <w:style w:type="paragraph" w:styleId="Heading1">
    <w:name w:val="heading 1"/>
    <w:basedOn w:val="Normal"/>
    <w:next w:val="Normal"/>
    <w:link w:val="Heading1Char"/>
    <w:uiPriority w:val="9"/>
    <w:qFormat/>
    <w:rsid w:val="001E368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2F2BCA"/>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2F2BC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415E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5E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5E1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E1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E1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E1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68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2F2BCA"/>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2F2BC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415E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5E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5E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E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E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E16"/>
    <w:rPr>
      <w:rFonts w:eastAsiaTheme="majorEastAsia" w:cstheme="majorBidi"/>
      <w:color w:val="272727" w:themeColor="text1" w:themeTint="D8"/>
    </w:rPr>
  </w:style>
  <w:style w:type="paragraph" w:styleId="Title">
    <w:name w:val="Title"/>
    <w:basedOn w:val="Normal"/>
    <w:next w:val="Normal"/>
    <w:link w:val="TitleChar"/>
    <w:uiPriority w:val="10"/>
    <w:qFormat/>
    <w:rsid w:val="001E368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E368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415E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E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E16"/>
    <w:pPr>
      <w:spacing w:before="160"/>
      <w:jc w:val="center"/>
    </w:pPr>
    <w:rPr>
      <w:i/>
      <w:iCs/>
      <w:color w:val="404040" w:themeColor="text1" w:themeTint="BF"/>
    </w:rPr>
  </w:style>
  <w:style w:type="character" w:customStyle="1" w:styleId="QuoteChar">
    <w:name w:val="Quote Char"/>
    <w:basedOn w:val="DefaultParagraphFont"/>
    <w:link w:val="Quote"/>
    <w:uiPriority w:val="29"/>
    <w:rsid w:val="00415E16"/>
    <w:rPr>
      <w:i/>
      <w:iCs/>
      <w:color w:val="404040" w:themeColor="text1" w:themeTint="BF"/>
    </w:rPr>
  </w:style>
  <w:style w:type="paragraph" w:styleId="ListParagraph">
    <w:name w:val="List Paragraph"/>
    <w:basedOn w:val="Normal"/>
    <w:uiPriority w:val="34"/>
    <w:qFormat/>
    <w:rsid w:val="00415E16"/>
    <w:pPr>
      <w:ind w:left="720"/>
      <w:contextualSpacing/>
    </w:pPr>
  </w:style>
  <w:style w:type="character" w:styleId="IntenseEmphasis">
    <w:name w:val="Intense Emphasis"/>
    <w:basedOn w:val="DefaultParagraphFont"/>
    <w:uiPriority w:val="21"/>
    <w:qFormat/>
    <w:rsid w:val="00415E16"/>
    <w:rPr>
      <w:i/>
      <w:iCs/>
      <w:color w:val="0F4761" w:themeColor="accent1" w:themeShade="BF"/>
    </w:rPr>
  </w:style>
  <w:style w:type="paragraph" w:styleId="IntenseQuote">
    <w:name w:val="Intense Quote"/>
    <w:basedOn w:val="Normal"/>
    <w:next w:val="Normal"/>
    <w:link w:val="IntenseQuoteChar"/>
    <w:uiPriority w:val="30"/>
    <w:qFormat/>
    <w:rsid w:val="00415E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5E16"/>
    <w:rPr>
      <w:i/>
      <w:iCs/>
      <w:color w:val="0F4761" w:themeColor="accent1" w:themeShade="BF"/>
    </w:rPr>
  </w:style>
  <w:style w:type="character" w:styleId="IntenseReference">
    <w:name w:val="Intense Reference"/>
    <w:basedOn w:val="DefaultParagraphFont"/>
    <w:uiPriority w:val="32"/>
    <w:qFormat/>
    <w:rsid w:val="00415E16"/>
    <w:rPr>
      <w:b/>
      <w:bCs/>
      <w:smallCaps/>
      <w:color w:val="0F4761" w:themeColor="accent1" w:themeShade="BF"/>
      <w:spacing w:val="5"/>
    </w:rPr>
  </w:style>
  <w:style w:type="character" w:styleId="PlaceholderText">
    <w:name w:val="Placeholder Text"/>
    <w:basedOn w:val="DefaultParagraphFont"/>
    <w:uiPriority w:val="99"/>
    <w:semiHidden/>
    <w:rsid w:val="00752E2E"/>
    <w:rPr>
      <w:color w:val="666666"/>
    </w:rPr>
  </w:style>
  <w:style w:type="character" w:styleId="Hyperlink">
    <w:name w:val="Hyperlink"/>
    <w:basedOn w:val="DefaultParagraphFont"/>
    <w:uiPriority w:val="99"/>
    <w:unhideWhenUsed/>
    <w:rsid w:val="00752E2E"/>
    <w:rPr>
      <w:color w:val="467886" w:themeColor="hyperlink"/>
      <w:u w:val="single"/>
    </w:rPr>
  </w:style>
  <w:style w:type="character" w:styleId="UnresolvedMention">
    <w:name w:val="Unresolved Mention"/>
    <w:basedOn w:val="DefaultParagraphFont"/>
    <w:uiPriority w:val="99"/>
    <w:semiHidden/>
    <w:unhideWhenUsed/>
    <w:rsid w:val="00752E2E"/>
    <w:rPr>
      <w:color w:val="605E5C"/>
      <w:shd w:val="clear" w:color="auto" w:fill="E1DFDD"/>
    </w:rPr>
  </w:style>
  <w:style w:type="paragraph" w:styleId="FootnoteText">
    <w:name w:val="footnote text"/>
    <w:basedOn w:val="Normal"/>
    <w:link w:val="FootnoteTextChar"/>
    <w:uiPriority w:val="99"/>
    <w:semiHidden/>
    <w:unhideWhenUsed/>
    <w:rsid w:val="002734A6"/>
    <w:pPr>
      <w:spacing w:line="240" w:lineRule="auto"/>
    </w:pPr>
    <w:rPr>
      <w:sz w:val="20"/>
      <w:szCs w:val="20"/>
    </w:rPr>
  </w:style>
  <w:style w:type="character" w:customStyle="1" w:styleId="FootnoteTextChar">
    <w:name w:val="Footnote Text Char"/>
    <w:basedOn w:val="DefaultParagraphFont"/>
    <w:link w:val="FootnoteText"/>
    <w:uiPriority w:val="99"/>
    <w:semiHidden/>
    <w:rsid w:val="002734A6"/>
    <w:rPr>
      <w:sz w:val="20"/>
      <w:szCs w:val="20"/>
    </w:rPr>
  </w:style>
  <w:style w:type="character" w:styleId="FootnoteReference">
    <w:name w:val="footnote reference"/>
    <w:basedOn w:val="DefaultParagraphFont"/>
    <w:uiPriority w:val="99"/>
    <w:semiHidden/>
    <w:unhideWhenUsed/>
    <w:rsid w:val="002734A6"/>
    <w:rPr>
      <w:vertAlign w:val="superscript"/>
    </w:rPr>
  </w:style>
  <w:style w:type="table" w:styleId="TableGrid">
    <w:name w:val="Table Grid"/>
    <w:basedOn w:val="TableNormal"/>
    <w:uiPriority w:val="39"/>
    <w:rsid w:val="00D87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91513"/>
    <w:rPr>
      <w:color w:val="96607D" w:themeColor="followedHyperlink"/>
      <w:u w:val="single"/>
    </w:rPr>
  </w:style>
  <w:style w:type="paragraph" w:styleId="TOCHeading">
    <w:name w:val="TOC Heading"/>
    <w:basedOn w:val="Heading1"/>
    <w:next w:val="Normal"/>
    <w:uiPriority w:val="39"/>
    <w:unhideWhenUsed/>
    <w:qFormat/>
    <w:rsid w:val="00CA71F4"/>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CA71F4"/>
    <w:rPr>
      <w:b/>
      <w:bCs/>
      <w:i/>
      <w:iCs/>
      <w:sz w:val="20"/>
    </w:rPr>
  </w:style>
  <w:style w:type="paragraph" w:styleId="TOC2">
    <w:name w:val="toc 2"/>
    <w:basedOn w:val="Normal"/>
    <w:next w:val="Normal"/>
    <w:autoRedefine/>
    <w:uiPriority w:val="39"/>
    <w:unhideWhenUsed/>
    <w:rsid w:val="00CA71F4"/>
    <w:pPr>
      <w:ind w:left="190"/>
    </w:pPr>
    <w:rPr>
      <w:b/>
      <w:bCs/>
      <w:sz w:val="18"/>
      <w:szCs w:val="22"/>
    </w:rPr>
  </w:style>
  <w:style w:type="paragraph" w:styleId="TOC3">
    <w:name w:val="toc 3"/>
    <w:basedOn w:val="Normal"/>
    <w:next w:val="Normal"/>
    <w:autoRedefine/>
    <w:uiPriority w:val="39"/>
    <w:unhideWhenUsed/>
    <w:rsid w:val="00CA71F4"/>
    <w:pPr>
      <w:ind w:left="380"/>
    </w:pPr>
    <w:rPr>
      <w:sz w:val="16"/>
      <w:szCs w:val="20"/>
    </w:rPr>
  </w:style>
  <w:style w:type="paragraph" w:styleId="TOC4">
    <w:name w:val="toc 4"/>
    <w:basedOn w:val="Normal"/>
    <w:next w:val="Normal"/>
    <w:autoRedefine/>
    <w:uiPriority w:val="39"/>
    <w:semiHidden/>
    <w:unhideWhenUsed/>
    <w:rsid w:val="00D5238E"/>
    <w:pPr>
      <w:ind w:left="570"/>
    </w:pPr>
    <w:rPr>
      <w:sz w:val="20"/>
      <w:szCs w:val="20"/>
    </w:rPr>
  </w:style>
  <w:style w:type="paragraph" w:styleId="TOC5">
    <w:name w:val="toc 5"/>
    <w:basedOn w:val="Normal"/>
    <w:next w:val="Normal"/>
    <w:autoRedefine/>
    <w:uiPriority w:val="39"/>
    <w:semiHidden/>
    <w:unhideWhenUsed/>
    <w:rsid w:val="00D5238E"/>
    <w:pPr>
      <w:ind w:left="760"/>
    </w:pPr>
    <w:rPr>
      <w:sz w:val="20"/>
      <w:szCs w:val="20"/>
    </w:rPr>
  </w:style>
  <w:style w:type="paragraph" w:styleId="TOC6">
    <w:name w:val="toc 6"/>
    <w:basedOn w:val="Normal"/>
    <w:next w:val="Normal"/>
    <w:autoRedefine/>
    <w:uiPriority w:val="39"/>
    <w:semiHidden/>
    <w:unhideWhenUsed/>
    <w:rsid w:val="00D5238E"/>
    <w:pPr>
      <w:ind w:left="950"/>
    </w:pPr>
    <w:rPr>
      <w:sz w:val="20"/>
      <w:szCs w:val="20"/>
    </w:rPr>
  </w:style>
  <w:style w:type="paragraph" w:styleId="TOC7">
    <w:name w:val="toc 7"/>
    <w:basedOn w:val="Normal"/>
    <w:next w:val="Normal"/>
    <w:autoRedefine/>
    <w:uiPriority w:val="39"/>
    <w:semiHidden/>
    <w:unhideWhenUsed/>
    <w:rsid w:val="00D5238E"/>
    <w:pPr>
      <w:ind w:left="1140"/>
    </w:pPr>
    <w:rPr>
      <w:sz w:val="20"/>
      <w:szCs w:val="20"/>
    </w:rPr>
  </w:style>
  <w:style w:type="paragraph" w:styleId="TOC8">
    <w:name w:val="toc 8"/>
    <w:basedOn w:val="Normal"/>
    <w:next w:val="Normal"/>
    <w:autoRedefine/>
    <w:uiPriority w:val="39"/>
    <w:semiHidden/>
    <w:unhideWhenUsed/>
    <w:rsid w:val="00D5238E"/>
    <w:pPr>
      <w:ind w:left="1330"/>
    </w:pPr>
    <w:rPr>
      <w:sz w:val="20"/>
      <w:szCs w:val="20"/>
    </w:rPr>
  </w:style>
  <w:style w:type="paragraph" w:styleId="TOC9">
    <w:name w:val="toc 9"/>
    <w:basedOn w:val="Normal"/>
    <w:next w:val="Normal"/>
    <w:autoRedefine/>
    <w:uiPriority w:val="39"/>
    <w:semiHidden/>
    <w:unhideWhenUsed/>
    <w:rsid w:val="00D5238E"/>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8463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semsimula-paper/blob/main/notebooks/conservative_arch/parf/model_gaussian_vtheta.py" TargetMode="External"/><Relationship Id="rId13" Type="http://schemas.openxmlformats.org/officeDocument/2006/relationships/hyperlink" Target="https://doi.org/10.5281/zenodo.19712427" TargetMode="External"/><Relationship Id="rId18" Type="http://schemas.openxmlformats.org/officeDocument/2006/relationships/hyperlink" Target="https://github.com/dimitarpg13/semsimula-paper/blob/main/companion_notes/Training_Instabilities_in_Fock-PARFLM_with_structured_V_theta.md"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5281/zenodo.19712427" TargetMode="External"/><Relationship Id="rId7" Type="http://schemas.openxmlformats.org/officeDocument/2006/relationships/endnotes" Target="endnotes.xml"/><Relationship Id="rId12" Type="http://schemas.openxmlformats.org/officeDocument/2006/relationships/hyperlink" Target="https://github.com/dimitarpg13/semsimula-paper/blob/main/companion_notes/Semantic_Attractor_Extraction.md" TargetMode="External"/><Relationship Id="rId17" Type="http://schemas.openxmlformats.org/officeDocument/2006/relationships/hyperlink" Target="https://doi.org/10.5281/zenodo.19712427" TargetMode="External"/><Relationship Id="rId25" Type="http://schemas.openxmlformats.org/officeDocument/2006/relationships/hyperlink" Target="https://github.com/dimitarpg13/semsimula-paper/blob/main/notebooks/conservative_arch/parf/model_parf.py" TargetMode="External"/><Relationship Id="rId2" Type="http://schemas.openxmlformats.org/officeDocument/2006/relationships/numbering" Target="numbering.xml"/><Relationship Id="rId16" Type="http://schemas.openxmlformats.org/officeDocument/2006/relationships/hyperlink" Target="https://github.com/dimitarpg13/semsimula-paper/blob/main/companion_notes/Potential_Wells_Temperature_and_Boltzmann-Gibbs_Theory.md" TargetMode="External"/><Relationship Id="rId20" Type="http://schemas.openxmlformats.org/officeDocument/2006/relationships/hyperlink" Target="https://github.com/dimitarpg13/semsimula-paper/blob/main/companion_notes/Fock-PARFLM_vs_GPT-2_on_OpenWebText_Next_Steps.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19712427" TargetMode="External"/><Relationship Id="rId24" Type="http://schemas.openxmlformats.org/officeDocument/2006/relationships/hyperlink" Target="https://github.com/dimitarpg13/semsimula-paper/blob/main/notebooks/conservative_arch/parf/model_gaussian_vtheta.py" TargetMode="External"/><Relationship Id="rId5" Type="http://schemas.openxmlformats.org/officeDocument/2006/relationships/webSettings" Target="webSettings.xml"/><Relationship Id="rId15" Type="http://schemas.openxmlformats.org/officeDocument/2006/relationships/hyperlink" Target="https://doi.org/10.5281/zenodo.19712427" TargetMode="External"/><Relationship Id="rId23" Type="http://schemas.openxmlformats.org/officeDocument/2006/relationships/hyperlink" Target="https://doi.org/10.5281/zenodo.19712427" TargetMode="External"/><Relationship Id="rId10" Type="http://schemas.openxmlformats.org/officeDocument/2006/relationships/hyperlink" Target="https://github.com/dimitarpg13/semsimula-paper/blob/main/notebooks/conservative_arch/parf/model_aniso_gaussian_vtheta.py" TargetMode="External"/><Relationship Id="rId19" Type="http://schemas.openxmlformats.org/officeDocument/2006/relationships/hyperlink" Target="https://doi.org/10.5281/zenodo.19712427" TargetMode="External"/><Relationship Id="rId4" Type="http://schemas.openxmlformats.org/officeDocument/2006/relationships/settings" Target="settings.xml"/><Relationship Id="rId9" Type="http://schemas.openxmlformats.org/officeDocument/2006/relationships/hyperlink" Target="https://github.com/dimitarpg13/semsimula-paper/blob/main/notebooks/conservative_arch/parf/model_gaussian_vtheta.py" TargetMode="External"/><Relationship Id="rId14" Type="http://schemas.openxmlformats.org/officeDocument/2006/relationships/hyperlink" Target="https://github.com/dimitarpg13/semsimula-paper/blob/main/companion_notes/Structured_VTheta_Design_and_Theory.md" TargetMode="External"/><Relationship Id="rId22" Type="http://schemas.openxmlformats.org/officeDocument/2006/relationships/hyperlink" Target="https://github.com/dimitarpg13/semsimula-paper/blob/main/companion_notes/Xi_Bottleneck_Diagnosis_Phase5.md"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50880D-E58A-B64E-8C02-1BF94E8B7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38</Pages>
  <Words>18542</Words>
  <Characters>105694</Characters>
  <Application>Microsoft Office Word</Application>
  <DocSecurity>0</DocSecurity>
  <Lines>880</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3</cp:revision>
  <cp:lastPrinted>2026-09-13T02:20:00Z</cp:lastPrinted>
  <dcterms:created xsi:type="dcterms:W3CDTF">2026-09-13T02:20:00Z</dcterms:created>
  <dcterms:modified xsi:type="dcterms:W3CDTF">2026-09-13T02:25:00Z</dcterms:modified>
</cp:coreProperties>
</file>