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0C8D0168" w:rsidR="00C432E1" w:rsidRDefault="0070177C" w:rsidP="0070177C">
      <w:pPr>
        <w:pStyle w:val="Heading2"/>
      </w:pPr>
      <w:r>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74A7EF6C"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p>
    <w:p w14:paraId="0C61B1A6" w14:textId="77777777" w:rsidR="008B34FE" w:rsidRDefault="008B34FE">
      <w:pPr>
        <w:rPr>
          <w:rFonts w:eastAsiaTheme="minorEastAsia"/>
        </w:rPr>
      </w:pPr>
    </w:p>
    <w:p w14:paraId="7509930C" w14:textId="77777777" w:rsidR="008B34FE" w:rsidRDefault="008B34FE"/>
    <w:p w14:paraId="65DFB4C8" w14:textId="77777777" w:rsidR="0070177C" w:rsidRDefault="0070177C"/>
    <w:p w14:paraId="4A02C287" w14:textId="77777777" w:rsidR="0070177C" w:rsidRDefault="0070177C"/>
    <w:p w14:paraId="251312DF" w14:textId="6512ABAC" w:rsidR="00C432E1" w:rsidRDefault="00C432E1" w:rsidP="0070177C">
      <w:pPr>
        <w:pStyle w:val="Heading1"/>
      </w:pPr>
      <w:r>
        <w:t>References</w:t>
      </w:r>
    </w:p>
    <w:p w14:paraId="72744383" w14:textId="475162B9" w:rsidR="00C432E1" w:rsidRDefault="00C432E1">
      <w:r>
        <w:t>[1]</w:t>
      </w:r>
      <w:r w:rsidR="0070177C">
        <w:t xml:space="preserve"> </w:t>
      </w:r>
      <w:r w:rsidR="0070177C">
        <w:rPr>
          <w:rStyle w:val="Hyperlink"/>
          <w:sz w:val="20"/>
          <w:szCs w:val="20"/>
        </w:rPr>
        <w:t>Wavelet Tour of Signal Processing, Stephane Mallat, 2004</w:t>
      </w:r>
    </w:p>
    <w:p w14:paraId="72191F84" w14:textId="227F595A" w:rsidR="00C432E1" w:rsidRDefault="00C432E1">
      <w:r>
        <w:t>[2]</w:t>
      </w:r>
      <w:r w:rsidR="0070177C">
        <w:t xml:space="preserve"> Ten Lectures of Wavelet, Ingrid Daubechies, Bell Labs, Rutgers U., 1992</w:t>
      </w:r>
    </w:p>
    <w:sectPr w:rsidR="00C4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66B4D"/>
    <w:rsid w:val="001D66E2"/>
    <w:rsid w:val="002F3C67"/>
    <w:rsid w:val="00375C0A"/>
    <w:rsid w:val="00420983"/>
    <w:rsid w:val="00503FD8"/>
    <w:rsid w:val="006243C2"/>
    <w:rsid w:val="0070177C"/>
    <w:rsid w:val="00835BAF"/>
    <w:rsid w:val="008B34FE"/>
    <w:rsid w:val="00994C4D"/>
    <w:rsid w:val="009C36DC"/>
    <w:rsid w:val="00B252BA"/>
    <w:rsid w:val="00C4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B25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B25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2025-03-02T19:29:00Z</dcterms:created>
  <dcterms:modified xsi:type="dcterms:W3CDTF">2025-03-03T22:39:00Z</dcterms:modified>
</cp:coreProperties>
</file>