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2A1AA8">
      <w:pPr>
        <w:pStyle w:val="Heading1"/>
        <w:spacing w:before="0"/>
        <w:rPr>
          <w:sz w:val="28"/>
          <w:szCs w:val="28"/>
        </w:rPr>
      </w:pPr>
      <w:r w:rsidRPr="002A1AA8">
        <w:rPr>
          <w:sz w:val="28"/>
          <w:szCs w:val="28"/>
        </w:rPr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2A1AA8">
      <w:pPr>
        <w:pStyle w:val="Heading2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1129F4">
      <w:pPr>
        <w:pStyle w:val="Heading3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C5332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</w:t>
      </w:r>
      <w:r w:rsidR="00441A1E">
        <w:rPr>
          <w:sz w:val="20"/>
          <w:szCs w:val="20"/>
        </w:rPr>
        <w:t xml:space="preserve">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D97AB1">
      <w:pPr>
        <w:pStyle w:val="Heading3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         (4)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6219B738" w:rsidR="00911779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 (5)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2DE8655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(6)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4362A992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(5) and (6)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6AA30E1" w:rsidR="003E69EE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=1;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=0, t&gt;0</m:t>
            </m:r>
          </m:e>
        </m:d>
      </m:oMath>
      <w:r>
        <w:rPr>
          <w:sz w:val="20"/>
          <w:szCs w:val="20"/>
        </w:rPr>
        <w:t xml:space="preserve">. Let us assume that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admits factorization </w:t>
      </w:r>
      <m:oMath>
        <m:r>
          <w:rPr>
            <w:rFonts w:ascii="Cambria Math" w:hAnsi="Cambria Math"/>
            <w:sz w:val="20"/>
            <w:szCs w:val="20"/>
          </w:rPr>
          <m:t>N=k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l</m:t>
        </m:r>
      </m:oMath>
      <w:r>
        <w:rPr>
          <w:sz w:val="20"/>
          <w:szCs w:val="20"/>
        </w:rPr>
        <w:t>. Then, the sequence</w:t>
      </w:r>
    </w:p>
    <w:p w14:paraId="08A2DA10" w14:textId="77777777" w:rsidR="00CF5652" w:rsidRDefault="00CF5652">
      <w:pPr>
        <w:rPr>
          <w:sz w:val="20"/>
          <w:szCs w:val="20"/>
        </w:rPr>
      </w:pPr>
    </w:p>
    <w:p w14:paraId="54363D48" w14:textId="3E24BBE6" w:rsidR="00CF5652" w:rsidRDefault="00E359C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  t=i∙l  ,  i=0,…,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0,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CF5652">
        <w:rPr>
          <w:sz w:val="20"/>
          <w:szCs w:val="20"/>
        </w:rPr>
        <w:t xml:space="preserve">       (7)</w:t>
      </w:r>
    </w:p>
    <w:p w14:paraId="4D404882" w14:textId="77777777" w:rsidR="00CF5652" w:rsidRDefault="00CF5652">
      <w:pPr>
        <w:rPr>
          <w:sz w:val="20"/>
          <w:szCs w:val="20"/>
        </w:rPr>
      </w:pPr>
    </w:p>
    <w:p w14:paraId="18FB309B" w14:textId="1C589C07" w:rsidR="00CF5652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equally-spaced nonzero elements.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  <w:r w:rsidR="00E359CE">
        <w:rPr>
          <w:sz w:val="20"/>
          <w:szCs w:val="20"/>
        </w:rPr>
        <w:t xml:space="preserve"> is the indicator function of a subgroup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0,…,N-1</m:t>
            </m:r>
          </m:e>
        </m:d>
      </m:oMath>
      <w:r w:rsidR="00E359CE">
        <w:rPr>
          <w:sz w:val="20"/>
          <w:szCs w:val="20"/>
        </w:rPr>
        <w:t xml:space="preserve"> and its discrete Fourier transform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 w:rsidR="00E359CE">
        <w:rPr>
          <w:sz w:val="20"/>
          <w:szCs w:val="20"/>
        </w:rPr>
        <w:t xml:space="preserve"> is, up to constant factor, the indicator function of the dual subgroup.</w:t>
      </w:r>
    </w:p>
    <w:p w14:paraId="19613E2D" w14:textId="77777777" w:rsidR="00E359CE" w:rsidRDefault="00E359CE">
      <w:pPr>
        <w:rPr>
          <w:sz w:val="20"/>
          <w:szCs w:val="20"/>
        </w:rPr>
      </w:pPr>
    </w:p>
    <w:p w14:paraId="17B1905D" w14:textId="4BA06B9A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>Thus, we have:</w:t>
      </w:r>
    </w:p>
    <w:p w14:paraId="18A766FF" w14:textId="4D70114E" w:rsidR="00E359CE" w:rsidRDefault="00E359C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</w:t>
      </w:r>
    </w:p>
    <w:p w14:paraId="19CC6265" w14:textId="77777777" w:rsidR="00E359CE" w:rsidRDefault="00E359CE">
      <w:pPr>
        <w:rPr>
          <w:sz w:val="20"/>
          <w:szCs w:val="20"/>
        </w:rPr>
      </w:pPr>
    </w:p>
    <w:p w14:paraId="5EADC661" w14:textId="763DDF8F" w:rsidR="00E359CE" w:rsidRDefault="00E359CE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den>
        </m:f>
      </m:oMath>
      <w:r>
        <w:rPr>
          <w:sz w:val="20"/>
          <w:szCs w:val="20"/>
        </w:rPr>
        <w:t xml:space="preserve"> </w:t>
      </w:r>
    </w:p>
    <w:p w14:paraId="78F18D65" w14:textId="77777777" w:rsidR="00E359CE" w:rsidRDefault="00E359CE">
      <w:pPr>
        <w:rPr>
          <w:sz w:val="20"/>
          <w:szCs w:val="20"/>
        </w:rPr>
      </w:pPr>
    </w:p>
    <w:p w14:paraId="200BC851" w14:textId="088CFF29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 xml:space="preserve">if w is multiple of k </w:t>
      </w:r>
    </w:p>
    <w:p w14:paraId="5D02CE0C" w14:textId="77777777" w:rsidR="00E359CE" w:rsidRDefault="00E359CE">
      <w:pPr>
        <w:rPr>
          <w:sz w:val="20"/>
          <w:szCs w:val="20"/>
        </w:rPr>
      </w:pPr>
    </w:p>
    <w:p w14:paraId="4EC32415" w14:textId="0FF1F286" w:rsidR="00E359CE" w:rsidRDefault="00E359CE">
      <w:pPr>
        <w:rPr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/>
            <w:sz w:val="20"/>
            <w:szCs w:val="20"/>
          </w:rPr>
          <m:t>=k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>
        <w:rPr>
          <w:sz w:val="20"/>
          <w:szCs w:val="20"/>
        </w:rPr>
        <w:t xml:space="preserve"> </w:t>
      </w:r>
    </w:p>
    <w:p w14:paraId="55A2A1C2" w14:textId="77777777" w:rsidR="00E359CE" w:rsidRDefault="00E359CE">
      <w:pPr>
        <w:rPr>
          <w:sz w:val="20"/>
          <w:szCs w:val="20"/>
        </w:rPr>
      </w:pPr>
    </w:p>
    <w:p w14:paraId="1FEBCE76" w14:textId="77777777" w:rsidR="00E359CE" w:rsidRDefault="00E359CE">
      <w:pPr>
        <w:rPr>
          <w:sz w:val="20"/>
          <w:szCs w:val="20"/>
        </w:rPr>
      </w:pPr>
    </w:p>
    <w:p w14:paraId="2B3F615F" w14:textId="77777777" w:rsidR="00E359CE" w:rsidRDefault="00E359CE">
      <w:pPr>
        <w:rPr>
          <w:sz w:val="20"/>
          <w:szCs w:val="20"/>
        </w:rPr>
      </w:pPr>
    </w:p>
    <w:p w14:paraId="12D2AC34" w14:textId="77777777" w:rsidR="00E359CE" w:rsidRDefault="00E359CE">
      <w:pPr>
        <w:rPr>
          <w:sz w:val="20"/>
          <w:szCs w:val="20"/>
        </w:rPr>
      </w:pPr>
    </w:p>
    <w:p w14:paraId="68A61405" w14:textId="77777777" w:rsidR="00CF5652" w:rsidRPr="00441A1E" w:rsidRDefault="00CF5652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2A1AA8">
      <w:pPr>
        <w:pStyle w:val="Heading2"/>
      </w:pPr>
      <w:r>
        <w:t>References</w:t>
      </w:r>
    </w:p>
    <w:p w14:paraId="1439E7C4" w14:textId="785F4610" w:rsidR="007D4DBA" w:rsidRDefault="007D4DBA" w:rsidP="0005636C">
      <w:pPr>
        <w:rPr>
          <w:sz w:val="20"/>
          <w:szCs w:val="20"/>
        </w:rPr>
      </w:pPr>
      <w:hyperlink r:id="rId4" w:history="1">
        <w:r w:rsidRPr="007D4DBA">
          <w:rPr>
            <w:rStyle w:val="Hyperlink"/>
            <w:sz w:val="20"/>
            <w:szCs w:val="20"/>
          </w:rPr>
          <w:t>Logan’s phenomenon: Uncertainty Principle and Robust Reconstruction, Journey into Randomness blog, 2011</w:t>
        </w:r>
      </w:hyperlink>
    </w:p>
    <w:p w14:paraId="0B070433" w14:textId="00780444" w:rsidR="00A95E21" w:rsidRDefault="00000000">
      <w:pPr>
        <w:rPr>
          <w:sz w:val="20"/>
          <w:szCs w:val="20"/>
        </w:rPr>
      </w:pPr>
      <w:hyperlink r:id="rId5" w:history="1">
        <w:r w:rsidR="0005636C" w:rsidRPr="0005636C">
          <w:rPr>
            <w:rStyle w:val="Hyperlink"/>
            <w:sz w:val="20"/>
            <w:szCs w:val="20"/>
          </w:rPr>
          <w:t>Uncertainty Principles and Signal Recovery, David L. Donoho, Phillip B. Stark, TR No. 94, 1987</w:t>
        </w:r>
      </w:hyperlink>
    </w:p>
    <w:p w14:paraId="4C355359" w14:textId="2D355BB2" w:rsidR="0005636C" w:rsidRDefault="00000000">
      <w:pPr>
        <w:rPr>
          <w:rStyle w:val="Hyperlink"/>
          <w:sz w:val="20"/>
          <w:szCs w:val="20"/>
        </w:rPr>
      </w:pPr>
      <w:hyperlink r:id="rId6" w:history="1">
        <w:r w:rsidR="0005636C" w:rsidRPr="0005636C">
          <w:rPr>
            <w:rStyle w:val="Hyperlink"/>
            <w:sz w:val="20"/>
            <w:szCs w:val="20"/>
          </w:rPr>
          <w:t>Super-Resolution via Sparsity Constraints, David L. Donoho, UC Berkeley, 1990</w:t>
        </w:r>
      </w:hyperlink>
    </w:p>
    <w:p w14:paraId="0982540D" w14:textId="77777777" w:rsidR="007D4DBA" w:rsidRPr="00E13F75" w:rsidRDefault="007D4DBA" w:rsidP="007D4DBA">
      <w:pPr>
        <w:rPr>
          <w:sz w:val="20"/>
          <w:szCs w:val="20"/>
        </w:rPr>
      </w:pPr>
      <w:hyperlink r:id="rId7" w:history="1">
        <w:r w:rsidRPr="00E13F75">
          <w:rPr>
            <w:rStyle w:val="Hyperlink"/>
            <w:sz w:val="20"/>
            <w:szCs w:val="20"/>
          </w:rPr>
          <w:t xml:space="preserve">Decoding by Linear Programming, Emmanuel </w:t>
        </w:r>
        <w:proofErr w:type="spellStart"/>
        <w:r w:rsidRPr="00E13F75">
          <w:rPr>
            <w:rStyle w:val="Hyperlink"/>
            <w:sz w:val="20"/>
            <w:szCs w:val="20"/>
          </w:rPr>
          <w:t>Candes</w:t>
        </w:r>
        <w:proofErr w:type="spellEnd"/>
        <w:r w:rsidRPr="00E13F75">
          <w:rPr>
            <w:rStyle w:val="Hyperlink"/>
            <w:sz w:val="20"/>
            <w:szCs w:val="20"/>
          </w:rPr>
          <w:t>, Terence Tao, Caltech, 2004</w:t>
        </w:r>
      </w:hyperlink>
    </w:p>
    <w:p w14:paraId="40EAC487" w14:textId="76884206" w:rsidR="007D4DBA" w:rsidRPr="007D4DBA" w:rsidRDefault="007D4DBA">
      <w:pPr>
        <w:rPr>
          <w:color w:val="0563C1" w:themeColor="hyperlink"/>
          <w:sz w:val="20"/>
          <w:szCs w:val="20"/>
          <w:u w:val="single"/>
        </w:rPr>
      </w:pPr>
      <w:hyperlink r:id="rId8" w:history="1">
        <w:r w:rsidRPr="0005636C">
          <w:rPr>
            <w:rStyle w:val="Hyperlink"/>
            <w:sz w:val="20"/>
            <w:szCs w:val="20"/>
          </w:rPr>
          <w:t xml:space="preserve">Robust Uncertainty Principles: Exact Signal Reconstruction from Highly Incomplete Frequency Information, Emmanuel </w:t>
        </w:r>
        <w:proofErr w:type="spellStart"/>
        <w:r w:rsidRPr="0005636C">
          <w:rPr>
            <w:rStyle w:val="Hyperlink"/>
            <w:sz w:val="20"/>
            <w:szCs w:val="20"/>
          </w:rPr>
          <w:t>Candes</w:t>
        </w:r>
        <w:proofErr w:type="spellEnd"/>
        <w:r w:rsidRPr="0005636C">
          <w:rPr>
            <w:rStyle w:val="Hyperlink"/>
            <w:sz w:val="20"/>
            <w:szCs w:val="20"/>
          </w:rPr>
          <w:t>, Justin Romberg, Terence Tao, 2005</w:t>
        </w:r>
      </w:hyperlink>
    </w:p>
    <w:p w14:paraId="1ADB70EC" w14:textId="61C4852C" w:rsidR="0005636C" w:rsidRDefault="00000000">
      <w:pPr>
        <w:rPr>
          <w:rStyle w:val="Hyperlink"/>
          <w:sz w:val="20"/>
          <w:szCs w:val="20"/>
        </w:rPr>
      </w:pPr>
      <w:hyperlink r:id="rId9" w:history="1">
        <w:r w:rsidR="0005636C" w:rsidRPr="00E13F75">
          <w:rPr>
            <w:rStyle w:val="Hyperlink"/>
            <w:sz w:val="20"/>
            <w:szCs w:val="20"/>
          </w:rPr>
          <w:t>Toward a Mathematical Theory of Super-Resolution, Emmanuel J. Candes, Carlos Fernandez-Granda, 2012</w:t>
        </w:r>
      </w:hyperlink>
    </w:p>
    <w:p w14:paraId="271539D1" w14:textId="43F446F0" w:rsidR="00F57DEA" w:rsidRPr="00A95E21" w:rsidRDefault="00F57DEA">
      <w:pPr>
        <w:rPr>
          <w:sz w:val="20"/>
          <w:szCs w:val="20"/>
        </w:rPr>
      </w:pPr>
      <m:oMath>
        <w:hyperlink r:id="rId10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 w:val="20"/>
                  <w:szCs w:val="20"/>
                </w:rPr>
                <m:t>p</m:t>
              </m:r>
            </m:sub>
          </m:sSub>
        </w:hyperlink>
      </m:oMath>
      <w:r w:rsidRPr="00F57DEA">
        <w:rPr>
          <w:rStyle w:val="Hyperlink"/>
          <w:sz w:val="20"/>
          <w:szCs w:val="20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Pr="00F57DEA">
        <w:rPr>
          <w:rStyle w:val="Hyperlink"/>
          <w:sz w:val="20"/>
          <w:szCs w:val="20"/>
        </w:rPr>
        <w:t xml:space="preserve"> spaces, Wikipedia</w:t>
      </w:r>
    </w:p>
    <w:sectPr w:rsidR="00F57DEA" w:rsidRPr="00A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A1AA8"/>
    <w:rsid w:val="003E69EE"/>
    <w:rsid w:val="00436FEC"/>
    <w:rsid w:val="00441A1E"/>
    <w:rsid w:val="005714E6"/>
    <w:rsid w:val="00647F97"/>
    <w:rsid w:val="007D4DBA"/>
    <w:rsid w:val="00911779"/>
    <w:rsid w:val="00A95E21"/>
    <w:rsid w:val="00BE3A14"/>
    <w:rsid w:val="00C5332F"/>
    <w:rsid w:val="00CF5652"/>
    <w:rsid w:val="00D97AB1"/>
    <w:rsid w:val="00E13F75"/>
    <w:rsid w:val="00E359CE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29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10" Type="http://schemas.openxmlformats.org/officeDocument/2006/relationships/hyperlink" Target="https://en.wikipedia.org/wiki/Lp_space" TargetMode="External"/><Relationship Id="rId4" Type="http://schemas.openxmlformats.org/officeDocument/2006/relationships/hyperlink" Target="https://linbaba.wordpress.com/tag/logan-phenomenon/" TargetMode="External"/><Relationship Id="rId9" Type="http://schemas.openxmlformats.org/officeDocument/2006/relationships/hyperlink" Target="https://github.com/dimitarpg13/spectral_analysis/blob/main/literature/articles/compressed_sensing/TowardMathematicalTheoryOfSuperresolutionCan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2024-04-29T02:56:00Z</dcterms:created>
  <dcterms:modified xsi:type="dcterms:W3CDTF">2025-02-27T19:18:00Z</dcterms:modified>
</cp:coreProperties>
</file>