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0732087B" w:rsidR="00B47FD9" w:rsidRDefault="00B47FD9">
      <w:r>
        <w:t>compiled from Elements of Statistical Learning by D. Gueorguiev, Oct 25, 2024</w:t>
      </w:r>
    </w:p>
    <w:p w14:paraId="41276D70" w14:textId="77777777" w:rsidR="008F73A5" w:rsidRDefault="008F73A5"/>
    <w:p w14:paraId="6FD4AD6E" w14:textId="78132D83" w:rsidR="008F73A5" w:rsidRDefault="008F73A5" w:rsidP="008F73A5">
      <w:pPr>
        <w:pStyle w:val="Heading1"/>
      </w:pPr>
      <w:r>
        <w:t>Linear Models and Least Squares</w:t>
      </w:r>
    </w:p>
    <w:p w14:paraId="5066CD2A" w14:textId="789B5344" w:rsidR="008F73A5" w:rsidRDefault="0058419D">
      <w:r>
        <w:t>The linear model is defined as:</w:t>
      </w:r>
    </w:p>
    <w:p w14:paraId="2E75D6ED" w14:textId="04ECCCC1"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77777777" w:rsidR="0058419D" w:rsidRDefault="0058419D"/>
    <w:p w14:paraId="620ADB9D" w14:textId="093B41C2"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77777777"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5EA49C78"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77777777" w:rsidR="001D4ECD" w:rsidRDefault="001D4ECD"/>
    <w:p w14:paraId="747E88D0" w14:textId="321D9550"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77777777" w:rsidR="00414924" w:rsidRDefault="00414924"/>
    <w:p w14:paraId="7C57E6AF" w14:textId="77777777" w:rsidR="00414924" w:rsidRPr="00A15A61" w:rsidRDefault="00414924">
      <w:pPr>
        <w:rPr>
          <w:u w:val="single"/>
        </w:rPr>
      </w:pPr>
      <w:r w:rsidRPr="00A15A61">
        <w:rPr>
          <w:u w:val="single"/>
        </w:rPr>
        <w:t>Fitting the linear model to a set of training data</w:t>
      </w:r>
    </w:p>
    <w:p w14:paraId="36B3C7EB" w14:textId="627F2804"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77777777"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7777777"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777777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77777777" w:rsidR="001B3240" w:rsidRDefault="001B3240"/>
    <w:p w14:paraId="5B7F3119" w14:textId="4102E33D"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77777777"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7777777" w:rsidR="008B4DB8" w:rsidRDefault="008B4DB8"/>
    <w:p w14:paraId="4277C91F" w14:textId="2D08F3D6"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77777777"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77777777" w:rsidR="00F273E3" w:rsidRDefault="00F273E3"/>
    <w:p w14:paraId="2D60CC73" w14:textId="2B74BE2A"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64B38F89" w14:textId="77777777" w:rsidR="008B4DB8" w:rsidRDefault="008B4DB8"/>
    <w:p w14:paraId="3E5269AC" w14:textId="77777777" w:rsidR="008B4DB8" w:rsidRDefault="008B4DB8"/>
    <w:p w14:paraId="37C590C5" w14:textId="77777777" w:rsidR="004A1C66" w:rsidRDefault="004A1C66"/>
    <w:p w14:paraId="5A846961" w14:textId="221C3E55" w:rsidR="004A1C66" w:rsidRDefault="00897DBF" w:rsidP="00897DBF">
      <w:pPr>
        <w:pStyle w:val="Heading1"/>
      </w:pPr>
      <w:r>
        <w:t>References</w:t>
      </w:r>
    </w:p>
    <w:p w14:paraId="2279DE3A" w14:textId="39B44397" w:rsidR="00897DBF" w:rsidRDefault="00897DBF">
      <w:r>
        <w:t xml:space="preserve">[1] </w:t>
      </w:r>
      <w:hyperlink r:id="rId5"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77777777" w:rsidR="004A1C66" w:rsidRDefault="004A1C66"/>
    <w:p w14:paraId="7E5C37EF" w14:textId="72CE5B9D"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lastRenderedPageBreak/>
        <w:t>Affine Space</w:t>
      </w:r>
    </w:p>
    <w:p w14:paraId="62F67B03" w14:textId="77777777" w:rsidR="004A1C66" w:rsidRDefault="004A1C66" w:rsidP="004A1C66"/>
    <w:p w14:paraId="5A4963A1" w14:textId="687D182F" w:rsidR="004A1C66" w:rsidRDefault="004A1C66" w:rsidP="004A1C66">
      <w:pPr>
        <w:pStyle w:val="Heading3"/>
      </w:pPr>
      <w:r>
        <w:t>Informal discussion</w:t>
      </w:r>
    </w:p>
    <w:p w14:paraId="33E95AE5" w14:textId="65665F53" w:rsidR="004A1C66" w:rsidRDefault="004A1C66" w:rsidP="004A1C66">
      <w:r>
        <w:t xml:space="preserve">Affine space is what is left from vector space after one has forgotten which point is the origin. </w:t>
      </w:r>
    </w:p>
    <w:p w14:paraId="2CE0E9E3" w14:textId="12141250"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lastRenderedPageBreak/>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1623D5"/>
    <w:rsid w:val="001B3240"/>
    <w:rsid w:val="001D4ECD"/>
    <w:rsid w:val="00373B88"/>
    <w:rsid w:val="00393962"/>
    <w:rsid w:val="003C5F65"/>
    <w:rsid w:val="00414924"/>
    <w:rsid w:val="004A1C66"/>
    <w:rsid w:val="0058419D"/>
    <w:rsid w:val="00897DBF"/>
    <w:rsid w:val="008B4DB8"/>
    <w:rsid w:val="008F73A5"/>
    <w:rsid w:val="00943B05"/>
    <w:rsid w:val="00983916"/>
    <w:rsid w:val="009B4D93"/>
    <w:rsid w:val="00A15A61"/>
    <w:rsid w:val="00B47FD9"/>
    <w:rsid w:val="00B91043"/>
    <w:rsid w:val="00C114C2"/>
    <w:rsid w:val="00EF7999"/>
    <w:rsid w:val="00F27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2024-10-25T22:11:00Z</dcterms:created>
  <dcterms:modified xsi:type="dcterms:W3CDTF">2024-10-27T16:47:00Z</dcterms:modified>
</cp:coreProperties>
</file>