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CE8D" w14:textId="246CA391" w:rsidR="00503FD8" w:rsidRDefault="0093234A" w:rsidP="007759B8">
      <w:pPr>
        <w:pStyle w:val="Title"/>
      </w:pPr>
      <w:r>
        <w:t>Notes on the Theory of Networks for Approximation and Learning</w:t>
      </w:r>
    </w:p>
    <w:p w14:paraId="7EC4ECBD" w14:textId="11DC4F9A" w:rsidR="0093234A" w:rsidRDefault="0093234A">
      <w:r>
        <w:t>compiled by D.Gueorguiev, 4/11/2025</w:t>
      </w:r>
    </w:p>
    <w:p w14:paraId="6796A901" w14:textId="77777777" w:rsidR="0093234A" w:rsidRDefault="0093234A"/>
    <w:p w14:paraId="66BB856C" w14:textId="634DB144" w:rsidR="0093234A" w:rsidRDefault="0093234A" w:rsidP="007759B8">
      <w:pPr>
        <w:pStyle w:val="Heading1"/>
      </w:pPr>
      <w:r>
        <w:t>Introductory Notes</w:t>
      </w:r>
    </w:p>
    <w:p w14:paraId="04EB8169" w14:textId="33A343B3" w:rsidR="0093234A" w:rsidRPr="00715861" w:rsidRDefault="00715861">
      <w:pPr>
        <w:rPr>
          <w:u w:val="single"/>
        </w:rPr>
      </w:pPr>
      <w:r>
        <w:t>Learning an input-output mapping from a set of examples, of the type that many neural nets have been constructed to perform, can be regarded as synthesizing an approximation of a multi-dimensional function, that is solving the problem of hypersurface reconstruction. From this point of view this form of learning is closely</w:t>
      </w:r>
      <w:r w:rsidRPr="00715861">
        <w:t xml:space="preserve"> related to classical </w:t>
      </w:r>
      <w:r>
        <w:t xml:space="preserve">approximation techniques, such as generalized splines and regularization theory. </w:t>
      </w:r>
      <w:r w:rsidR="00287DEC">
        <w:t xml:space="preserve">We would like to investigate </w:t>
      </w:r>
    </w:p>
    <w:p w14:paraId="5DB7C85A" w14:textId="77777777" w:rsidR="007759B8" w:rsidRDefault="007759B8"/>
    <w:p w14:paraId="5CC5ED43" w14:textId="77777777" w:rsidR="007759B8" w:rsidRDefault="007759B8"/>
    <w:p w14:paraId="267748AD" w14:textId="3B91F991" w:rsidR="0093234A" w:rsidRDefault="0093234A" w:rsidP="007759B8">
      <w:pPr>
        <w:pStyle w:val="Heading1"/>
      </w:pPr>
      <w:r>
        <w:t>References</w:t>
      </w:r>
    </w:p>
    <w:p w14:paraId="584ECD50" w14:textId="1A0B2495" w:rsidR="007759B8" w:rsidRDefault="007759B8">
      <w:r>
        <w:t xml:space="preserve">[1] </w:t>
      </w:r>
      <w:hyperlink r:id="rId4" w:history="1">
        <w:r w:rsidRPr="007759B8">
          <w:rPr>
            <w:rStyle w:val="Hyperlink"/>
          </w:rPr>
          <w:t>A Theory of Networks for Approximation and Learning, T. Poggio et al, 1989</w:t>
        </w:r>
      </w:hyperlink>
    </w:p>
    <w:p w14:paraId="1EA24D26" w14:textId="0AD0CCF6" w:rsidR="007759B8" w:rsidRDefault="007759B8">
      <w:r>
        <w:t xml:space="preserve">[2] </w:t>
      </w:r>
      <w:hyperlink r:id="rId5" w:history="1">
        <w:r w:rsidRPr="007759B8">
          <w:rPr>
            <w:rStyle w:val="Hyperlink"/>
          </w:rPr>
          <w:t>The Statistical Mechanics of Learning A Rule, T. Watkin et al, 1993</w:t>
        </w:r>
      </w:hyperlink>
      <w:r>
        <w:t xml:space="preserve"> </w:t>
      </w:r>
    </w:p>
    <w:p w14:paraId="6AFCD2A6" w14:textId="7F81B301" w:rsidR="007759B8" w:rsidRDefault="007759B8">
      <w:r>
        <w:t xml:space="preserve">[3] </w:t>
      </w:r>
      <w:hyperlink r:id="rId6" w:history="1">
        <w:r w:rsidRPr="007759B8">
          <w:rPr>
            <w:rStyle w:val="Hyperlink"/>
          </w:rPr>
          <w:t>Statistical Mechanics of Learning, Andreas Engel, 1999</w:t>
        </w:r>
      </w:hyperlink>
    </w:p>
    <w:p w14:paraId="4B060264" w14:textId="660AC639" w:rsidR="007759B8" w:rsidRDefault="007759B8">
      <w:r>
        <w:t xml:space="preserve">[4] </w:t>
      </w:r>
      <w:hyperlink r:id="rId7" w:history="1">
        <w:r w:rsidRPr="007759B8">
          <w:rPr>
            <w:rStyle w:val="Hyperlink"/>
          </w:rPr>
          <w:t>The Peaking Phenomenon in Semi-Supervised Learning, JH Krijte, M. Loog, 2016</w:t>
        </w:r>
      </w:hyperlink>
    </w:p>
    <w:p w14:paraId="6E289696" w14:textId="291F5655" w:rsidR="007759B8" w:rsidRDefault="007759B8">
      <w:r>
        <w:t xml:space="preserve">[5] </w:t>
      </w:r>
      <w:hyperlink r:id="rId8" w:history="1">
        <w:r w:rsidRPr="007759B8">
          <w:rPr>
            <w:rStyle w:val="Hyperlink"/>
          </w:rPr>
          <w:t>Reconciling modern machine learning practice and the bias-variance trade-off, Mikhail Belkin et al, 2019</w:t>
        </w:r>
      </w:hyperlink>
    </w:p>
    <w:p w14:paraId="1BE67CAB" w14:textId="2A97406C" w:rsidR="00287DEC" w:rsidRDefault="00287DEC">
      <w:r>
        <w:t xml:space="preserve">[6] </w:t>
      </w:r>
      <w:hyperlink r:id="rId9" w:history="1">
        <w:r w:rsidRPr="00287DEC">
          <w:rPr>
            <w:rStyle w:val="Hyperlink"/>
          </w:rPr>
          <w:t>Kolmogorov-Arnold representation theorem, W</w:t>
        </w:r>
        <w:r w:rsidR="000E0DD2">
          <w:rPr>
            <w:rStyle w:val="Hyperlink"/>
          </w:rPr>
          <w:t>i</w:t>
        </w:r>
        <w:r w:rsidRPr="00287DEC">
          <w:rPr>
            <w:rStyle w:val="Hyperlink"/>
          </w:rPr>
          <w:t>kipedia</w:t>
        </w:r>
      </w:hyperlink>
    </w:p>
    <w:p w14:paraId="68651FC1" w14:textId="77777777" w:rsidR="00287DEC" w:rsidRDefault="00287DEC"/>
    <w:p w14:paraId="71F78FDB" w14:textId="77777777" w:rsidR="00287DEC" w:rsidRDefault="00287DEC"/>
    <w:p w14:paraId="3585A418" w14:textId="055073D3" w:rsidR="00287DEC" w:rsidRDefault="00287DEC" w:rsidP="00287DEC">
      <w:pPr>
        <w:pStyle w:val="Heading1"/>
      </w:pPr>
      <w:r>
        <w:t>Appendix</w:t>
      </w:r>
    </w:p>
    <w:p w14:paraId="6B212767" w14:textId="77777777" w:rsidR="00287DEC" w:rsidRDefault="00287DEC"/>
    <w:p w14:paraId="585ECA34" w14:textId="5F2068AA" w:rsidR="00287DEC" w:rsidRDefault="00287DEC" w:rsidP="00287DEC">
      <w:pPr>
        <w:pStyle w:val="Heading2"/>
      </w:pPr>
      <w:r>
        <w:t>Kolmogorov-Arnold Representation Theorem</w:t>
      </w:r>
    </w:p>
    <w:p w14:paraId="61FC9BD1" w14:textId="77777777" w:rsidR="00287DEC" w:rsidRDefault="00287DEC" w:rsidP="00287DEC"/>
    <w:p w14:paraId="7594C871" w14:textId="4DE67FAE" w:rsidR="00287DEC" w:rsidRPr="00287DEC" w:rsidRDefault="000E0DD2" w:rsidP="00287DEC">
      <w:r w:rsidRPr="000E0DD2">
        <w:rPr>
          <w:b/>
          <w:bCs/>
        </w:rPr>
        <w:t>Theorem</w:t>
      </w:r>
      <w:r>
        <w:t xml:space="preserve"> : </w:t>
      </w:r>
      <w:r w:rsidRPr="000E0DD2">
        <w:rPr>
          <w:i/>
          <w:iCs/>
        </w:rPr>
        <w:t>Kolmogorov-Arnold function representation</w:t>
      </w:r>
    </w:p>
    <w:p w14:paraId="59E6D46B" w14:textId="1BA335BA" w:rsidR="00287DEC" w:rsidRDefault="000E0DD2">
      <w:pPr>
        <w:rPr>
          <w:rFonts w:eastAsiaTheme="minorEastAsia"/>
        </w:rPr>
      </w:pPr>
      <w:r>
        <w:t xml:space="preserve">Every multivariate continuous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can be represented as a superposition of continuous single-variable functions. Precisely, if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 multivariate continuous function, then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can be written as a finite composition of continuous functions of a single variable and the binary operation of addition. </w:t>
      </w:r>
    </w:p>
    <w:p w14:paraId="3EC91528" w14:textId="77777777" w:rsidR="000E0DD2" w:rsidRDefault="000E0DD2">
      <w:pPr>
        <w:rPr>
          <w:rFonts w:eastAsiaTheme="minorEastAsia"/>
        </w:rPr>
      </w:pPr>
    </w:p>
    <w:p w14:paraId="26BF7632" w14:textId="1EEF4283" w:rsidR="000E0DD2" w:rsidRDefault="000E0DD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q=0</m:t>
            </m:r>
          </m:sub>
          <m:sup>
            <m:r>
              <w:rPr>
                <w:rFonts w:ascii="Cambria Math" w:eastAsiaTheme="minorEastAsia" w:hAnsi="Cambria Math"/>
              </w:rPr>
              <m:t>2n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q,p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D829689" w14:textId="77777777" w:rsidR="000E0DD2" w:rsidRDefault="000E0DD2">
      <w:pPr>
        <w:rPr>
          <w:rFonts w:eastAsiaTheme="minorEastAsia"/>
        </w:rPr>
      </w:pPr>
    </w:p>
    <w:p w14:paraId="3D0C4616" w14:textId="76DA51B8" w:rsidR="000E0DD2" w:rsidRDefault="000E0DD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q,p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0EFD9DE4" w14:textId="77777777" w:rsidR="000E0DD2" w:rsidRDefault="000E0DD2">
      <w:pPr>
        <w:rPr>
          <w:rFonts w:eastAsiaTheme="minorEastAsia"/>
        </w:rPr>
      </w:pPr>
    </w:p>
    <w:p w14:paraId="143F16F8" w14:textId="08935CA4" w:rsidR="000E0DD2" w:rsidRDefault="000E0DD2">
      <w:r>
        <w:t xml:space="preserve">George Lorentz provides another formulation of this theorem in 1962 which shows that the outer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t xml:space="preserve"> can be replaced by a single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t>. More precisely,</w:t>
      </w:r>
    </w:p>
    <w:p w14:paraId="435D3995" w14:textId="77777777" w:rsidR="000E0DD2" w:rsidRDefault="000E0DD2"/>
    <w:p w14:paraId="2BD9C537" w14:textId="0FCE673A" w:rsidR="000E0DD2" w:rsidRDefault="000E0DD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q,p</m:t>
            </m:r>
          </m:sub>
        </m:sSub>
        <m:r>
          <w:rPr>
            <w:rFonts w:ascii="Cambria Math" w:eastAsiaTheme="minorEastAsia" w:hAnsi="Cambria Math"/>
          </w:rPr>
          <m:t xml:space="preserve">, q=0,1,…,2n, p=1,…,n </m:t>
        </m:r>
        <m:r>
          <m:rPr>
            <m:sty m:val="p"/>
          </m:rPr>
          <w:rPr>
            <w:rFonts w:ascii="Cambria Math" w:eastAsiaTheme="minorEastAsia" w:hAnsi="Cambria Math"/>
          </w:rPr>
          <m:t>s.t</m:t>
        </m:r>
        <m:r>
          <w:rPr>
            <w:rFonts w:ascii="Cambria Math" w:eastAsiaTheme="minorEastAsia" w:hAnsi="Cambria Math"/>
          </w:rPr>
          <m:t xml:space="preserve">.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q=0</m:t>
            </m:r>
          </m:sub>
          <m:sup>
            <m:r>
              <w:rPr>
                <w:rFonts w:ascii="Cambria Math" w:eastAsiaTheme="minorEastAsia" w:hAnsi="Cambria Math"/>
              </w:rPr>
              <m:t>2n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q,p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E3312A9" w14:textId="77777777" w:rsidR="000E0DD2" w:rsidRDefault="000E0DD2">
      <w:pPr>
        <w:rPr>
          <w:rFonts w:eastAsiaTheme="minorEastAsia"/>
        </w:rPr>
      </w:pPr>
    </w:p>
    <w:p w14:paraId="4D60EF62" w14:textId="483A370B" w:rsidR="000E0DD2" w:rsidRDefault="000E0DD2">
      <w:pPr>
        <w:rPr>
          <w:rFonts w:eastAsiaTheme="minorEastAsia"/>
        </w:rPr>
      </w:pPr>
      <w:r>
        <w:rPr>
          <w:rFonts w:eastAsiaTheme="minorEastAsia"/>
        </w:rPr>
        <w:t xml:space="preserve">David Sprecher replaced the inner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q,p</m:t>
            </m:r>
          </m:sub>
        </m:sSub>
      </m:oMath>
      <w:r>
        <w:rPr>
          <w:rFonts w:eastAsiaTheme="minorEastAsia"/>
        </w:rPr>
        <w:t xml:space="preserve"> by one single inner function with an appropriate shift in its argument. He proved that there exist real values </w:t>
      </w:r>
      <m:oMath>
        <m:r>
          <w:rPr>
            <w:rFonts w:ascii="Cambria Math" w:eastAsiaTheme="minorEastAsia" w:hAnsi="Cambria Math"/>
          </w:rPr>
          <m:t>η,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 continuous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</w:rPr>
          <m:t>: R→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and a real increasing continuous function </w:t>
      </w:r>
      <m:oMath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with </w:t>
      </w:r>
    </w:p>
    <w:p w14:paraId="500E303E" w14:textId="77777777" w:rsidR="000E0DD2" w:rsidRDefault="000E0DD2">
      <w:pPr>
        <w:rPr>
          <w:rFonts w:eastAsiaTheme="minorEastAsia"/>
        </w:rPr>
      </w:pPr>
    </w:p>
    <w:p w14:paraId="5E5119A1" w14:textId="25D7FC93" w:rsidR="000E0DD2" w:rsidRPr="000E0DD2" w:rsidRDefault="000E0DD2">
      <w:pPr>
        <w:rPr>
          <w:rFonts w:eastAsiaTheme="minorEastAsia"/>
          <w:color w:val="FF0000"/>
        </w:rPr>
      </w:pPr>
      <w:r w:rsidRPr="000E0DD2">
        <w:rPr>
          <w:rFonts w:eastAsiaTheme="minorEastAsia"/>
          <w:color w:val="FF0000"/>
        </w:rPr>
        <w:t>//TODO: finish the appendix section on Kolmogorov representation theorem</w:t>
      </w:r>
    </w:p>
    <w:p w14:paraId="449C05ED" w14:textId="77777777" w:rsidR="000E0DD2" w:rsidRDefault="000E0DD2">
      <w:pPr>
        <w:rPr>
          <w:rFonts w:eastAsiaTheme="minorEastAsia"/>
        </w:rPr>
      </w:pPr>
    </w:p>
    <w:p w14:paraId="71996C2D" w14:textId="5C148A03" w:rsidR="000E0DD2" w:rsidRDefault="000E0DD2" w:rsidP="000E0DD2">
      <w:pPr>
        <w:pStyle w:val="Heading2"/>
      </w:pPr>
      <w:r>
        <w:t>Lipschitz-continuity of functions</w:t>
      </w:r>
    </w:p>
    <w:p w14:paraId="5820C629" w14:textId="2684EBDB" w:rsidR="000E0DD2" w:rsidRDefault="000E0DD2" w:rsidP="000E0DD2">
      <w:pPr>
        <w:rPr>
          <w:rFonts w:eastAsiaTheme="minorEastAsia"/>
        </w:rPr>
      </w:pPr>
      <w:r>
        <w:t xml:space="preserve">Given two metric spaces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63C39">
        <w:rPr>
          <w:rFonts w:eastAsiaTheme="minorEastAsia"/>
        </w:rPr>
        <w:t xml:space="preserve"> denotes the metric on the set </w:t>
      </w:r>
      <m:oMath>
        <m:r>
          <w:rPr>
            <w:rFonts w:ascii="Cambria Math" w:eastAsiaTheme="minorEastAsia" w:hAnsi="Cambria Math"/>
          </w:rPr>
          <m:t>X</m:t>
        </m:r>
      </m:oMath>
      <w:r w:rsidR="00763C3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63C39">
        <w:rPr>
          <w:rFonts w:eastAsiaTheme="minorEastAsia"/>
        </w:rPr>
        <w:t xml:space="preserve"> denotes the metric on the set </w:t>
      </w:r>
      <m:oMath>
        <m:r>
          <w:rPr>
            <w:rFonts w:ascii="Cambria Math" w:eastAsiaTheme="minorEastAsia" w:hAnsi="Cambria Math"/>
          </w:rPr>
          <m:t>Y</m:t>
        </m:r>
      </m:oMath>
      <w:r w:rsidR="00763C39">
        <w:rPr>
          <w:rFonts w:eastAsiaTheme="minorEastAsia"/>
        </w:rPr>
        <w:t xml:space="preserve">, a function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:X→Y</m:t>
        </m:r>
      </m:oMath>
      <w:r w:rsidR="00763C39">
        <w:rPr>
          <w:rFonts w:eastAsiaTheme="minorEastAsia"/>
        </w:rPr>
        <w:t xml:space="preserve"> is called Lipschitz continuous if there exist a real constant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≥0</m:t>
        </m:r>
      </m:oMath>
      <w:r w:rsidR="00763C39">
        <w:rPr>
          <w:rFonts w:eastAsiaTheme="minorEastAsia"/>
        </w:rPr>
        <w:t xml:space="preserve"> such that,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63C3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63C39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</m:oMath>
      <w:r w:rsidR="00763C39">
        <w:rPr>
          <w:rFonts w:eastAsiaTheme="minorEastAsia"/>
        </w:rPr>
        <w:t xml:space="preserve">, </w:t>
      </w:r>
    </w:p>
    <w:p w14:paraId="7524D16A" w14:textId="77777777" w:rsidR="00763C39" w:rsidRDefault="00763C39" w:rsidP="000E0DD2">
      <w:pPr>
        <w:rPr>
          <w:rFonts w:eastAsiaTheme="minorEastAsia"/>
        </w:rPr>
      </w:pPr>
    </w:p>
    <w:p w14:paraId="5669FF39" w14:textId="137C8FFF" w:rsidR="00763C39" w:rsidRDefault="00763C39" w:rsidP="000E0DD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7F328D20" w14:textId="77777777" w:rsidR="00763C39" w:rsidRDefault="00763C39" w:rsidP="000E0DD2">
      <w:pPr>
        <w:rPr>
          <w:rFonts w:eastAsiaTheme="minorEastAsia"/>
        </w:rPr>
      </w:pPr>
    </w:p>
    <w:p w14:paraId="7835EEB2" w14:textId="0F7CE768" w:rsidR="00763C39" w:rsidRPr="00763C39" w:rsidRDefault="00763C39" w:rsidP="000E0DD2">
      <w:r>
        <w:rPr>
          <w:rFonts w:eastAsiaTheme="minorEastAsia"/>
        </w:rPr>
        <w:t xml:space="preserve">Any such K is referred to as a Lipschitz constant for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may also be referred 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-Lipschitz (also denoted as </w:t>
      </w:r>
      <m:oMath>
        <m:r>
          <m:rPr>
            <m:sty m:val="p"/>
          </m:rPr>
          <w:rPr>
            <w:rFonts w:ascii="Cambria Math" w:eastAsiaTheme="minorEastAsia" w:hAnsi="Cambria Math"/>
          </w:rPr>
          <m:t>Lip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</w:t>
      </w:r>
    </w:p>
    <w:sectPr w:rsidR="00763C39" w:rsidRPr="0076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A"/>
    <w:rsid w:val="00066B4D"/>
    <w:rsid w:val="000E0DD2"/>
    <w:rsid w:val="001D66E2"/>
    <w:rsid w:val="00287DEC"/>
    <w:rsid w:val="00375C0A"/>
    <w:rsid w:val="00503FD8"/>
    <w:rsid w:val="00715861"/>
    <w:rsid w:val="00763C39"/>
    <w:rsid w:val="007759B8"/>
    <w:rsid w:val="009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AB1D"/>
  <w15:chartTrackingRefBased/>
  <w15:docId w15:val="{8CEBE792-C9A4-884A-9559-82F3A3A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4A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34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DE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4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7DEC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4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4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B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0D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articles/learning_as_approximation/Reconciling_modern_machine_learning_practice_and_the_bias-variance_trade-off_Belkin_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tatistical_learning_and_kernel_methods/blob/main/literature/articles/learning_as_approximation/The_Peaking_Phenomenon_in_Semi-supervised_Learning_Krijthe_201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tatistical_learning_and_kernel_methods/blob/main/literature/articles/learning_as_approximation/Statistical_Mechanics_of_Learning_Engel_199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statistical_learning_and_kernel_methods/blob/main/literature/articles/learning_as_approximation/The_Statistical_Mechanics_of_Learning_A_Rule_1993RevModPhysWatkin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articles/learning_as_approximation/A_Theory_of_Networks_for_Approximation_and_Learning_Poggio_Girosi_1989.pdf" TargetMode="External"/><Relationship Id="rId9" Type="http://schemas.openxmlformats.org/officeDocument/2006/relationships/hyperlink" Target="https://en.wikipedia.org/wiki/Kolmogorov%E2%80%93Arnold_representation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2025-04-11T12:01:00Z</dcterms:created>
  <dcterms:modified xsi:type="dcterms:W3CDTF">2025-04-11T22:48:00Z</dcterms:modified>
</cp:coreProperties>
</file>