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2683" w14:textId="3D1D1C15" w:rsidR="0053777D" w:rsidRDefault="000A4E6F" w:rsidP="000A4E6F">
      <w:pPr>
        <w:pStyle w:val="Title"/>
      </w:pPr>
      <w:r>
        <w:t xml:space="preserve">Multi-class Classification with Bi-Encoder Model </w:t>
      </w:r>
    </w:p>
    <w:p w14:paraId="2C7AB5D6" w14:textId="73B05E57" w:rsidR="000A4E6F" w:rsidRDefault="000A4E6F">
      <w:r>
        <w:t>Variation of a problem given by Cimulate</w:t>
      </w:r>
    </w:p>
    <w:p w14:paraId="497D78D7" w14:textId="77777777" w:rsidR="000A4E6F" w:rsidRDefault="000A4E6F"/>
    <w:p w14:paraId="63477864" w14:textId="425E4582" w:rsidR="00C946FC" w:rsidRDefault="00C946FC" w:rsidP="00C946FC">
      <w:pPr>
        <w:pStyle w:val="Heading1"/>
      </w:pPr>
      <w:r>
        <w:t>Problem Statement</w:t>
      </w:r>
    </w:p>
    <w:p w14:paraId="743E9660" w14:textId="77777777" w:rsidR="00C946FC" w:rsidRDefault="00C946FC"/>
    <w:p w14:paraId="49E0F609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Given is a training data in the following format</w:t>
      </w:r>
    </w:p>
    <w:p w14:paraId="564B9D65" w14:textId="77777777" w:rsidR="00C946FC" w:rsidRDefault="00C946FC" w:rsidP="00C946FC">
      <w:pPr>
        <w:spacing w:line="240" w:lineRule="auto"/>
        <w:rPr>
          <w:sz w:val="20"/>
          <w:szCs w:val="20"/>
        </w:rPr>
      </w:pPr>
    </w:p>
    <w:p w14:paraId="2DE21BA3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>: a text string</w:t>
      </w:r>
    </w:p>
    <w:p w14:paraId="564AFDED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query result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>
        <w:rPr>
          <w:sz w:val="20"/>
          <w:szCs w:val="20"/>
        </w:rPr>
        <w:t xml:space="preserve">: a list of choices; each choice is represented by unique identifier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</w:p>
    <w:p w14:paraId="15FC5267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selection: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sel</m:t>
            </m:r>
          </m:sub>
        </m:sSub>
        <m:r>
          <w:rPr>
            <w:rFonts w:ascii="Cambria Math" w:hAnsi="Cambria Math"/>
            <w:sz w:val="20"/>
            <w:szCs w:val="20"/>
          </w:rPr>
          <m:t>∈r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</w:p>
    <w:p w14:paraId="0BF20313" w14:textId="77777777" w:rsidR="00C946FC" w:rsidRDefault="00C946FC" w:rsidP="00C946FC">
      <w:pPr>
        <w:spacing w:line="240" w:lineRule="auto"/>
        <w:rPr>
          <w:sz w:val="20"/>
          <w:szCs w:val="20"/>
        </w:rPr>
      </w:pPr>
    </w:p>
    <w:p w14:paraId="5E6CB895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choice information:</w:t>
      </w:r>
    </w:p>
    <w:p w14:paraId="0BF20D50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each choice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we are given a set of features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 xml:space="preserve">which characterize the choice. Each feature can be either numerical or categorical. </w:t>
      </w:r>
    </w:p>
    <w:p w14:paraId="5FF58017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83FDDE0" w14:textId="77777777" w:rsidR="00C946FC" w:rsidRDefault="00C946FC" w:rsidP="00C946FC">
      <w:pPr>
        <w:spacing w:line="240" w:lineRule="auto"/>
        <w:rPr>
          <w:sz w:val="20"/>
          <w:szCs w:val="20"/>
        </w:rPr>
      </w:pPr>
    </w:p>
    <w:p w14:paraId="752FCD50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 a set of alternatives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resulting from the query execution we would like to predict which alternative is most likely to be selected for this query.</w:t>
      </w:r>
      <w:r>
        <w:rPr>
          <w:sz w:val="20"/>
          <w:szCs w:val="20"/>
        </w:rPr>
        <w:tab/>
      </w:r>
    </w:p>
    <w:p w14:paraId="45E46854" w14:textId="77777777" w:rsidR="00C946FC" w:rsidRDefault="00C946FC" w:rsidP="00C946FC">
      <w:pPr>
        <w:spacing w:line="240" w:lineRule="auto"/>
        <w:rPr>
          <w:sz w:val="20"/>
          <w:szCs w:val="20"/>
        </w:rPr>
      </w:pPr>
    </w:p>
    <w:p w14:paraId="66833881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common approach involves computing a prediction score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 for each query-alternative pair:</w:t>
      </w:r>
    </w:p>
    <w:p w14:paraId="531B8C79" w14:textId="77777777" w:rsidR="00C946FC" w:rsidRDefault="00C946FC" w:rsidP="00C946FC">
      <w:pPr>
        <w:spacing w:line="240" w:lineRule="auto"/>
        <w:rPr>
          <w:sz w:val="20"/>
          <w:szCs w:val="20"/>
        </w:rPr>
      </w:pPr>
    </w:p>
    <w:p w14:paraId="62E8CF1A" w14:textId="77777777" w:rsidR="00C946FC" w:rsidRDefault="00C946FC" w:rsidP="00C946FC">
      <w:pPr>
        <w:spacing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</w:p>
    <w:p w14:paraId="185E0DC9" w14:textId="77777777" w:rsidR="00C946FC" w:rsidRDefault="00C946FC" w:rsidP="00C946FC">
      <w:pPr>
        <w:spacing w:line="240" w:lineRule="auto"/>
        <w:rPr>
          <w:sz w:val="20"/>
          <w:szCs w:val="20"/>
        </w:rPr>
      </w:pPr>
    </w:p>
    <w:p w14:paraId="6B439CBA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with the corresponding probabilistic prediction defined as:</w:t>
      </w:r>
    </w:p>
    <w:p w14:paraId="1BE07B11" w14:textId="77777777" w:rsidR="00C946FC" w:rsidRDefault="00C946FC" w:rsidP="00C946FC">
      <w:pPr>
        <w:spacing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P(</m:t>
        </m:r>
      </m:oMath>
      <w:r>
        <w:rPr>
          <w:sz w:val="20"/>
          <w:szCs w:val="20"/>
        </w:rPr>
        <w:t xml:space="preserve">choose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>-th alternative</w:t>
      </w:r>
      <m:oMath>
        <m:r>
          <w:rPr>
            <w:rFonts w:ascii="Cambria Math" w:hAnsi="Cambria Math"/>
            <w:sz w:val="20"/>
            <w:szCs w:val="20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</w:p>
    <w:p w14:paraId="0DDDF972" w14:textId="77777777" w:rsidR="00C946FC" w:rsidRDefault="00C946FC" w:rsidP="00C946FC">
      <w:pPr>
        <w:spacing w:line="240" w:lineRule="auto"/>
        <w:rPr>
          <w:sz w:val="20"/>
          <w:szCs w:val="20"/>
        </w:rPr>
      </w:pPr>
    </w:p>
    <w:p w14:paraId="17B73BB8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To train the function f, the cross-entropy loss is typically used:</w:t>
      </w:r>
    </w:p>
    <w:p w14:paraId="6B7AC940" w14:textId="77777777" w:rsidR="00C946FC" w:rsidRDefault="00C946FC" w:rsidP="00C946FC">
      <w:pPr>
        <w:spacing w:line="240" w:lineRule="auto"/>
        <w:rPr>
          <w:sz w:val="20"/>
          <w:szCs w:val="20"/>
        </w:rPr>
      </w:pPr>
    </w:p>
    <w:p w14:paraId="60877A0F" w14:textId="77777777" w:rsidR="00C946FC" w:rsidRDefault="00C946FC" w:rsidP="00C946FC">
      <w:pPr>
        <w:spacing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,j</m:t>
            </m:r>
          </m:e>
        </m:d>
        <m:r>
          <w:rPr>
            <w:rFonts w:ascii="Cambria Math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sel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</m:e>
        </m:func>
      </m:oMath>
      <w:r>
        <w:rPr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sel</m:t>
            </m:r>
          </m:sub>
        </m:sSub>
      </m:oMath>
      <w:r>
        <w:rPr>
          <w:sz w:val="20"/>
          <w:szCs w:val="20"/>
        </w:rPr>
        <w:t xml:space="preserve"> represent</w:t>
      </w:r>
      <w:proofErr w:type="spellStart"/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the score of the actually selected alternative </w:t>
      </w:r>
    </w:p>
    <w:p w14:paraId="48627B2C" w14:textId="77777777" w:rsidR="00C946FC" w:rsidRDefault="00C946FC" w:rsidP="00C946FC">
      <w:pPr>
        <w:spacing w:line="240" w:lineRule="auto"/>
        <w:rPr>
          <w:sz w:val="20"/>
          <w:szCs w:val="20"/>
        </w:rPr>
      </w:pPr>
    </w:p>
    <w:p w14:paraId="30F16C71" w14:textId="77777777" w:rsidR="00C547CD" w:rsidRPr="00C37E3B" w:rsidRDefault="00C547CD" w:rsidP="00C547CD">
      <w:pPr>
        <w:pStyle w:val="Heading2"/>
      </w:pPr>
      <w:r>
        <w:t xml:space="preserve">Application of Bi-Encoder for the Multi-class classification problem </w:t>
      </w:r>
    </w:p>
    <w:p w14:paraId="38D9F0CF" w14:textId="77777777" w:rsidR="00C547CD" w:rsidRDefault="00C547CD" w:rsidP="00C547CD"/>
    <w:p w14:paraId="1BF81329" w14:textId="77777777" w:rsidR="00C547CD" w:rsidRDefault="00C547CD" w:rsidP="00C547CD">
      <w:r>
        <w:t xml:space="preserve">The simplest architecture for constructing </w:t>
      </w:r>
      <m:oMath>
        <m:r>
          <w:rPr>
            <w:rFonts w:ascii="Cambria Math" w:hAnsi="Cambria Math"/>
          </w:rPr>
          <m:t>f</m:t>
        </m:r>
      </m:oMath>
      <w:r>
        <w:t xml:space="preserve"> is the Bi-Encoder archite</w:t>
      </w:r>
      <w:proofErr w:type="spellStart"/>
      <w:r>
        <w:t>cture</w:t>
      </w:r>
      <w:proofErr w:type="spellEnd"/>
      <w:r>
        <w:t xml:space="preserve">. Specifically, the prediction score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can be constructed as the inner product of the query embedding and the product embedding</w:t>
      </w:r>
    </w:p>
    <w:p w14:paraId="1703DD32" w14:textId="77777777" w:rsidR="00C547CD" w:rsidRDefault="00C547CD" w:rsidP="00C547CD"/>
    <w:p w14:paraId="0A497DB7" w14:textId="77777777" w:rsidR="00C547CD" w:rsidRDefault="00C547CD" w:rsidP="00C547C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emb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emb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</w:t>
      </w:r>
    </w:p>
    <w:p w14:paraId="406891F3" w14:textId="77777777" w:rsidR="00C547CD" w:rsidRDefault="00C547CD" w:rsidP="00C547CD"/>
    <w:p w14:paraId="34AC716B" w14:textId="77777777" w:rsidR="00C547CD" w:rsidRDefault="00C547CD" w:rsidP="00C946FC">
      <w:pPr>
        <w:spacing w:line="240" w:lineRule="auto"/>
        <w:rPr>
          <w:sz w:val="20"/>
          <w:szCs w:val="20"/>
        </w:rPr>
      </w:pPr>
    </w:p>
    <w:p w14:paraId="369C9AF5" w14:textId="77777777" w:rsidR="00C547CD" w:rsidRDefault="00C547CD" w:rsidP="00C946FC">
      <w:pPr>
        <w:spacing w:line="240" w:lineRule="auto"/>
        <w:rPr>
          <w:sz w:val="20"/>
          <w:szCs w:val="20"/>
        </w:rPr>
      </w:pPr>
    </w:p>
    <w:p w14:paraId="62193CF7" w14:textId="77777777" w:rsidR="00C946FC" w:rsidRPr="00042373" w:rsidRDefault="00C946FC" w:rsidP="00C946FC">
      <w:pPr>
        <w:pStyle w:val="Heading1"/>
      </w:pPr>
      <w:r w:rsidRPr="00042373">
        <w:t>Predicting which Wine the User</w:t>
      </w:r>
      <w:r>
        <w:t xml:space="preserve"> is most likely to click on</w:t>
      </w:r>
    </w:p>
    <w:p w14:paraId="33F3A5F1" w14:textId="6B0214B3" w:rsidR="000A4E6F" w:rsidRDefault="000A4E6F"/>
    <w:p w14:paraId="1B7E59A2" w14:textId="77777777" w:rsidR="00C946FC" w:rsidRDefault="00C946FC" w:rsidP="00C946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dataset containing clickstream data related to wine purchases. The data includes the user’s search query and the assortment of products presented to them. The objective of this problem is </w:t>
      </w:r>
      <w:r w:rsidRPr="006413BE">
        <w:rPr>
          <w:sz w:val="20"/>
          <w:szCs w:val="20"/>
        </w:rPr>
        <w:t xml:space="preserve">to predict which </w:t>
      </w:r>
      <w:r>
        <w:rPr>
          <w:sz w:val="20"/>
          <w:szCs w:val="20"/>
        </w:rPr>
        <w:t>product the user is most likely to click on.</w:t>
      </w:r>
    </w:p>
    <w:p w14:paraId="52803501" w14:textId="77777777" w:rsidR="00C946FC" w:rsidRDefault="00C946FC"/>
    <w:p w14:paraId="6FF5B871" w14:textId="582B0400" w:rsidR="00C946FC" w:rsidRDefault="00607615">
      <w:r>
        <w:rPr>
          <w:noProof/>
        </w:rPr>
        <w:lastRenderedPageBreak/>
        <w:drawing>
          <wp:inline distT="0" distB="0" distL="0" distR="0" wp14:anchorId="05455CFA" wp14:editId="5EA148B7">
            <wp:extent cx="5943600" cy="2145030"/>
            <wp:effectExtent l="0" t="0" r="0" b="1270"/>
            <wp:docPr id="155772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219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5C84" w14:textId="6D0C75D7" w:rsidR="00607615" w:rsidRDefault="00607615">
      <w:r>
        <w:rPr>
          <w:noProof/>
        </w:rPr>
        <w:drawing>
          <wp:inline distT="0" distB="0" distL="0" distR="0" wp14:anchorId="1211BCD5" wp14:editId="7C803C96">
            <wp:extent cx="5943600" cy="3300730"/>
            <wp:effectExtent l="0" t="0" r="0" b="1270"/>
            <wp:docPr id="6708877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8777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6E6B" w14:textId="2C5BD79C" w:rsidR="00607615" w:rsidRDefault="00607615">
      <w:r>
        <w:rPr>
          <w:noProof/>
        </w:rPr>
        <w:lastRenderedPageBreak/>
        <w:drawing>
          <wp:inline distT="0" distB="0" distL="0" distR="0" wp14:anchorId="5A6B54D6" wp14:editId="18B540B6">
            <wp:extent cx="5943600" cy="3875405"/>
            <wp:effectExtent l="0" t="0" r="0" b="0"/>
            <wp:docPr id="13159925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9253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F"/>
    <w:rsid w:val="000A4E6F"/>
    <w:rsid w:val="0053777D"/>
    <w:rsid w:val="00607615"/>
    <w:rsid w:val="0076273D"/>
    <w:rsid w:val="009557AD"/>
    <w:rsid w:val="00A44F18"/>
    <w:rsid w:val="00AD2000"/>
    <w:rsid w:val="00C547CD"/>
    <w:rsid w:val="00C9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F0B51"/>
  <w15:chartTrackingRefBased/>
  <w15:docId w15:val="{855D3EA5-5590-1D4B-A73C-58730228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6F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E6F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E6F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E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E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E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E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6F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E6F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6F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</cp:revision>
  <dcterms:created xsi:type="dcterms:W3CDTF">2025-08-11T04:34:00Z</dcterms:created>
  <dcterms:modified xsi:type="dcterms:W3CDTF">2025-08-11T16:36:00Z</dcterms:modified>
</cp:coreProperties>
</file>