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49529618" w:rsidR="0018147A" w:rsidRPr="0018147A" w:rsidRDefault="0018147A" w:rsidP="007915A0">
      <w:pPr>
        <w:rPr>
          <w:b/>
          <w:bCs/>
          <w:sz w:val="20"/>
          <w:szCs w:val="20"/>
        </w:rPr>
      </w:pPr>
      <w:r>
        <w:rPr>
          <w:sz w:val="20"/>
          <w:szCs w:val="20"/>
        </w:rPr>
        <w:t xml:space="preserve">Attention was first introduced in NLP for machine translation tasks in </w:t>
      </w:r>
      <w:hyperlink r:id="rId5"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6"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[20]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77777777" w:rsidR="0049678A" w:rsidRPr="007915A0" w:rsidRDefault="0049678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proofErr w:type="spellStart"/>
      <w:r>
        <w:rPr>
          <w:sz w:val="20"/>
          <w:szCs w:val="20"/>
        </w:rPr>
        <w:t>T</w:t>
      </w:r>
      <w:proofErr w:type="spellEnd"/>
      <w:r>
        <w:rPr>
          <w:sz w:val="20"/>
          <w:szCs w:val="20"/>
        </w:rPr>
        <w: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r w:rsidRPr="00672983">
        <w:t>Probab</w:t>
      </w:r>
      <w:r>
        <w:t>ility Density Estimation</w:t>
      </w:r>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7"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8"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9"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0" w:history="1">
        <w:r w:rsidR="008B3F15" w:rsidRPr="008B3F15">
          <w:rPr>
            <w:rStyle w:val="Hyperlink"/>
            <w:rFonts w:cstheme="minorHAnsi"/>
            <w:sz w:val="18"/>
            <w:szCs w:val="18"/>
          </w:rPr>
          <w:t xml:space="preserve">Neural Machine Translation by Jointly Learning To Align and Translate, Dzmitry Bahdanau, K. Cho, Yoshua </w:t>
        </w:r>
        <w:proofErr w:type="spellStart"/>
        <w:r w:rsidR="008B3F15" w:rsidRPr="008B3F15">
          <w:rPr>
            <w:rStyle w:val="Hyperlink"/>
            <w:rFonts w:cstheme="minorHAnsi"/>
            <w:sz w:val="18"/>
            <w:szCs w:val="18"/>
          </w:rPr>
          <w:t>Bengio</w:t>
        </w:r>
        <w:proofErr w:type="spellEnd"/>
        <w:r w:rsidR="008B3F15" w:rsidRPr="008B3F15">
          <w:rPr>
            <w:rStyle w:val="Hyperlink"/>
            <w:rFonts w:cstheme="minorHAnsi"/>
            <w:sz w:val="18"/>
            <w:szCs w:val="18"/>
          </w:rPr>
          <w:t>,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1"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2"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3"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Dzmitry Bahdanau, Fethi Bougares, Holger Schwenk, Yoshua </w:t>
        </w:r>
        <w:proofErr w:type="spellStart"/>
        <w:r w:rsidR="009A4A52" w:rsidRPr="009A4A52">
          <w:rPr>
            <w:rStyle w:val="Hyperlink"/>
            <w:sz w:val="18"/>
            <w:szCs w:val="18"/>
          </w:rPr>
          <w:t>Bengio</w:t>
        </w:r>
        <w:proofErr w:type="spellEnd"/>
        <w:r w:rsidR="009A4A52" w:rsidRPr="009A4A52">
          <w:rPr>
            <w:rStyle w:val="Hyperlink"/>
            <w:sz w:val="18"/>
            <w:szCs w:val="18"/>
          </w:rPr>
          <w:t>,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4"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Koenigstein,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5"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6" w:history="1">
        <w:r w:rsidR="009A4A52" w:rsidRPr="009A4A52">
          <w:rPr>
            <w:rStyle w:val="Hyperlink"/>
            <w:sz w:val="18"/>
            <w:szCs w:val="18"/>
          </w:rPr>
          <w:t xml:space="preserve">Attention is All You Need, Ashish Vaswani, Noam Shazeer,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17"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8"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19"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0"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1" w:history="1">
        <w:r w:rsidR="00236808" w:rsidRPr="00236808">
          <w:rPr>
            <w:rStyle w:val="Hyperlink"/>
            <w:sz w:val="18"/>
            <w:szCs w:val="18"/>
          </w:rPr>
          <w:t xml:space="preserve">Understanding LSTM: a Tutorial into Long Short-Term Memory Recurrent Neural Networks, Ralf C. </w:t>
        </w:r>
        <w:proofErr w:type="spellStart"/>
        <w:r w:rsidR="00236808" w:rsidRPr="00236808">
          <w:rPr>
            <w:rStyle w:val="Hyperlink"/>
            <w:sz w:val="18"/>
            <w:szCs w:val="18"/>
          </w:rPr>
          <w:t>Staudemeyer</w:t>
        </w:r>
        <w:proofErr w:type="spellEnd"/>
        <w:r w:rsidR="00236808" w:rsidRPr="00236808">
          <w:rPr>
            <w:rStyle w:val="Hyperlink"/>
            <w:sz w:val="18"/>
            <w:szCs w:val="18"/>
          </w:rPr>
          <w:t>,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2"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3"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24"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25" w:history="1">
        <w:r w:rsidRPr="00CD07B0">
          <w:rPr>
            <w:rStyle w:val="Hyperlink"/>
            <w:sz w:val="18"/>
            <w:szCs w:val="18"/>
          </w:rPr>
          <w:t>Learning to combine foveal glimpses with a third-order Boltzmann machine, H. Larochelle and G. Hinton, 2010</w:t>
        </w:r>
      </w:hyperlink>
    </w:p>
    <w:p w14:paraId="79CA0CB9" w14:textId="6AFDFF3D" w:rsidR="0044481D" w:rsidRPr="00CD07B0" w:rsidRDefault="0044481D">
      <w:pPr>
        <w:rPr>
          <w:sz w:val="18"/>
          <w:szCs w:val="18"/>
        </w:rPr>
      </w:pPr>
      <w:r>
        <w:rPr>
          <w:rStyle w:val="Hyperlink"/>
          <w:color w:val="auto"/>
          <w:sz w:val="18"/>
          <w:szCs w:val="18"/>
          <w:u w:val="none"/>
        </w:rPr>
        <w:t xml:space="preserve">[20] </w:t>
      </w:r>
      <w:hyperlink r:id="rId26" w:history="1">
        <w:r w:rsidRPr="0044481D">
          <w:rPr>
            <w:rStyle w:val="Hyperlink"/>
            <w:sz w:val="18"/>
            <w:szCs w:val="18"/>
          </w:rPr>
          <w:t>Recurrent models of visual attention, V. Mnih et al, Google DeepMind, 2014</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18147A"/>
    <w:rsid w:val="00227090"/>
    <w:rsid w:val="00236808"/>
    <w:rsid w:val="002B6A42"/>
    <w:rsid w:val="002D06A3"/>
    <w:rsid w:val="003045CB"/>
    <w:rsid w:val="00374FEF"/>
    <w:rsid w:val="00380C06"/>
    <w:rsid w:val="0044481D"/>
    <w:rsid w:val="0049678A"/>
    <w:rsid w:val="004C7BE8"/>
    <w:rsid w:val="00672983"/>
    <w:rsid w:val="0069714C"/>
    <w:rsid w:val="00735DB3"/>
    <w:rsid w:val="007915A0"/>
    <w:rsid w:val="008B29CD"/>
    <w:rsid w:val="008B3F15"/>
    <w:rsid w:val="008C52E0"/>
    <w:rsid w:val="0096397A"/>
    <w:rsid w:val="009A4A52"/>
    <w:rsid w:val="00B23583"/>
    <w:rsid w:val="00B51C49"/>
    <w:rsid w:val="00B87A3B"/>
    <w:rsid w:val="00B95017"/>
    <w:rsid w:val="00CD07B0"/>
    <w:rsid w:val="00D55AEC"/>
    <w:rsid w:val="00E442FA"/>
    <w:rsid w:val="00E81547"/>
    <w:rsid w:val="00ED0B23"/>
    <w:rsid w:val="00F4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Bidirectional_Recurrent_Neural_Networks_Schuster_Paliwal_1997.pdf" TargetMode="External"/><Relationship Id="rId13" Type="http://schemas.openxmlformats.org/officeDocument/2006/relationships/hyperlink" Target="https://github.com/dimitarpg13/transformers_intro/blob/main/articles_and_books/LearningPhraseRepresentationsUsingRNNEncoderDecoderForStatisticalMachineTranslation.pdf" TargetMode="External"/><Relationship Id="rId18" Type="http://schemas.openxmlformats.org/officeDocument/2006/relationships/hyperlink" Target="https://github.com/dimitarpg13/transformers_intro/blob/main/articles_and_books/SequencetoSequenceLearningwithNeuralNetworksSutsekver2014.pdf" TargetMode="External"/><Relationship Id="rId26" Type="http://schemas.openxmlformats.org/officeDocument/2006/relationships/hyperlink" Target="https://github.com/dimitarpg13/transformers_intro/blob/main/articles_and_books/Recurrent_Models_of_Visual_Attention_Mnih_2014.pdf" TargetMode="External"/><Relationship Id="rId3" Type="http://schemas.openxmlformats.org/officeDocument/2006/relationships/settings" Target="settings.xml"/><Relationship Id="rId21" Type="http://schemas.openxmlformats.org/officeDocument/2006/relationships/hyperlink" Target="https://github.com/dimitarpg13/transformers_intro/blob/main/articles_and_books/TutorialOnLongShortTermMemory2019.pdf" TargetMode="External"/><Relationship Id="rId7" Type="http://schemas.openxmlformats.org/officeDocument/2006/relationships/hyperlink" Target="https://github.com/dimitarpg13/transformers_intro/blob/main/articles_and_books/AttentionInNaturalLanguageProcessing.pdf" TargetMode="External"/><Relationship Id="rId12" Type="http://schemas.openxmlformats.org/officeDocument/2006/relationships/hyperlink" Target="https://github.com/dimitarpg13/transformers_intro/blob/main/articles_and_books/OnthePropertiesOfNeuralMachineTranslationEncoderDecoderApproaches.pdf" TargetMode="External"/><Relationship Id="rId17" Type="http://schemas.openxmlformats.org/officeDocument/2006/relationships/hyperlink" Target="https://github.com/dimitarpg13/transformers_intro/blob/main/articles_and_books/TransformingAutoencodersHinton.pdf" TargetMode="External"/><Relationship Id="rId25" Type="http://schemas.openxmlformats.org/officeDocument/2006/relationships/hyperlink" Target="https://github.com/dimitarpg13/transformers_intro/blob/main/articles_and_books/NIPS-2010-learning-to-combine-foveal-glimpses-with-a-third-order-boltzmann-machine-Paper.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Attention-is-all-you-need-NIPS-2017.pdf" TargetMode="External"/><Relationship Id="rId20" Type="http://schemas.openxmlformats.org/officeDocument/2006/relationships/hyperlink" Target="https://github.com/dimitarpg13/transformers_intro/blob/main/articles_and_books/TutorialOnRNNAndBPTTJaeger2002.pdf" TargetMode="Externa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NIPS-2010-learning-to-combine-foveal-glimpses-with-a-third-order-boltzmann-machine-Paper.pdf" TargetMode="External"/><Relationship Id="rId11" Type="http://schemas.openxmlformats.org/officeDocument/2006/relationships/hyperlink" Target="https://github.com/dimitarpg13/transformers_intro/blob/main/articles_and_books/Recurrent_continuous_translation_models_Kalchbrenner_Blunsson_OxfordU_2013.pdf" TargetMode="External"/><Relationship Id="rId24" Type="http://schemas.openxmlformats.org/officeDocument/2006/relationships/hyperlink" Target="https://github.com/dimitarpg13/transformers_intro/blob/main/articles_and_books/SequenceModelingwithNeuralNetworksPart2_AttentionModels.pdf" TargetMode="External"/><Relationship Id="rId5" Type="http://schemas.openxmlformats.org/officeDocument/2006/relationships/hyperlink" Target="https://github.com/dimitarpg13/transformers_intro/blob/main/articles_and_books/NeuralMachineTranslationByJointlyLearningToAlignAndTranslateBahdanau2015.pdf" TargetMode="External"/><Relationship Id="rId15" Type="http://schemas.openxmlformats.org/officeDocument/2006/relationships/hyperlink" Target="https://github.com/dimitarpg13/transformers_intro/blob/main/articles_and_books/AttentionandAugmentedRecurrentNeuralNetworks.pdf" TargetMode="External"/><Relationship Id="rId23" Type="http://schemas.openxmlformats.org/officeDocument/2006/relationships/hyperlink" Target="https://github.com/dimitarpg13/transformers_intro/blob/main/articles_and_books/SequenceModelingWithNeuralNetworksPart1_Seq2Seq.pdf" TargetMode="External"/><Relationship Id="rId28" Type="http://schemas.openxmlformats.org/officeDocument/2006/relationships/theme" Target="theme/theme1.xml"/><Relationship Id="rId10" Type="http://schemas.openxmlformats.org/officeDocument/2006/relationships/hyperlink" Target="https://github.com/dimitarpg13/transformers_intro/blob/main/articles_and_books/NeuralMachineTranslationByJointlyLearningToAlignAndTranslateBahdanau2015.pdf" TargetMode="External"/><Relationship Id="rId19" Type="http://schemas.openxmlformats.org/officeDocument/2006/relationships/hyperlink" Target="https://github.com/dimitarpg13/transformers_intro/blob/main/articles_and_books/Generating_Sequences_With_Recurrent_Neural_Networks_Graves_2014.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Neural_Networks_for_Pattern_Recognition-Bishop_1995.pdf" TargetMode="External"/><Relationship Id="rId14" Type="http://schemas.openxmlformats.org/officeDocument/2006/relationships/hyperlink" Target="https://github.com/dimitarpg13/transformers_intro/blob/main/articles_and_books/Autoencoders.pdf" TargetMode="External"/><Relationship Id="rId22" Type="http://schemas.openxmlformats.org/officeDocument/2006/relationships/hyperlink" Target="https://github.com/dimitarpg13/transformers_intro/blob/main/articles_and_books/LongShortTermMemory.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35</cp:revision>
  <dcterms:created xsi:type="dcterms:W3CDTF">2024-01-07T23:09:00Z</dcterms:created>
  <dcterms:modified xsi:type="dcterms:W3CDTF">2024-03-18T03:20:00Z</dcterms:modified>
</cp:coreProperties>
</file>