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57069C4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2FB7B0AA"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94750F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 is obtained by interleaving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the positional encoding vector </w:t>
      </w:r>
      <m:oMath>
        <m:r>
          <w:rPr>
            <w:rFonts w:ascii="Cambria Math" w:eastAsiaTheme="minorEastAsia" w:hAnsi="Cambria Math"/>
            <w:sz w:val="22"/>
            <w:szCs w:val="22"/>
          </w:rPr>
          <m:t>PE</m:t>
        </m:r>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7F5B1632" w:rsidR="0044367E" w:rsidRDefault="0044367E" w:rsidP="009F6EF6">
      <w:pPr>
        <w:rPr>
          <w:rFonts w:eastAsiaTheme="minorEastAsia"/>
          <w:sz w:val="22"/>
          <w:szCs w:val="22"/>
        </w:rPr>
      </w:pPr>
      <m:oMath>
        <m:r>
          <w:rPr>
            <w:rFonts w:ascii="Cambria Math" w:eastAsiaTheme="minorEastAsia" w:hAnsi="Cambria Math"/>
            <w:sz w:val="22"/>
            <w:szCs w:val="22"/>
          </w:rPr>
          <m:t>PE</m:t>
        </m:r>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52E81"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421E65"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ADCE2C"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B62661E"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5B0DF29C"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4CB084D4"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PE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6B619BA0"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r>
          <w:rPr>
            <w:rFonts w:ascii="Cambria Math" w:eastAsiaTheme="minorEastAsia" w:hAnsi="Cambria Math"/>
            <w:sz w:val="22"/>
            <w:szCs w:val="22"/>
          </w:rPr>
          <m:t>WE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441742E5"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d>
          <m:dPr>
            <m:ctrlPr>
              <w:rPr>
                <w:rFonts w:ascii="Cambria Math" w:eastAsiaTheme="minorEastAsia" w:hAnsi="Cambria Math"/>
                <w:i/>
                <w:sz w:val="22"/>
                <w:szCs w:val="22"/>
              </w:rPr>
            </m:ctrlPr>
          </m:dPr>
          <m:e>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sz w:val="18"/>
                    <w:szCs w:val="18"/>
                  </w:rPr>
                  <m:t>black</m:t>
                </m:r>
              </m:e>
            </m:d>
            <m:r>
              <m:rPr>
                <m:sty m:val="b"/>
              </m:rPr>
              <w:rPr>
                <w:rFonts w:ascii="Cambria Math" w:eastAsiaTheme="minorEastAsia" w:hAnsi="Cambria Math"/>
                <w:sz w:val="18"/>
                <w:szCs w:val="18"/>
              </w:rPr>
              <m:t>,</m:t>
            </m:r>
            <m:r>
              <w:rPr>
                <w:rFonts w:ascii="Cambria Math" w:eastAsiaTheme="minorEastAsia" w:hAnsi="Cambria Math"/>
                <w:sz w:val="22"/>
                <w:szCs w:val="22"/>
              </w:rPr>
              <m:t>W</m:t>
            </m:r>
            <m:r>
              <w:rPr>
                <w:rFonts w:ascii="Cambria Math" w:eastAsiaTheme="minorEastAsia" w:hAnsi="Cambria Math"/>
                <w:sz w:val="22"/>
                <w:szCs w:val="22"/>
              </w:rPr>
              <m:t>E</m:t>
            </m:r>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brown</m:t>
                </m:r>
              </m:e>
            </m:d>
          </m:e>
        </m:d>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41567ACA"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DB164DC" w14:textId="09771EB9" w:rsidR="0087214D" w:rsidRDefault="0087214D" w:rsidP="009F6EF6">
      <w:pPr>
        <w:rPr>
          <w:rFonts w:eastAsiaTheme="minorEastAsia" w:cstheme="minorHAnsi"/>
          <w:sz w:val="22"/>
          <w:szCs w:val="22"/>
        </w:rPr>
      </w:pPr>
    </w:p>
    <w:p w14:paraId="39E247AB" w14:textId="38E44842" w:rsidR="0087214D" w:rsidRDefault="0087214D" w:rsidP="009F6EF6">
      <w:pPr>
        <w:rPr>
          <w:rFonts w:eastAsiaTheme="minorEastAsia" w:cstheme="minorHAnsi"/>
          <w:sz w:val="22"/>
          <w:szCs w:val="22"/>
        </w:rPr>
      </w:pPr>
    </w:p>
    <w:p w14:paraId="28B4DD5A" w14:textId="77777777" w:rsidR="0087214D" w:rsidRDefault="0087214D"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48A4A746"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6FB206D6" w14:textId="1BBD3ADA" w:rsidR="00A3181E" w:rsidRDefault="00A3181E" w:rsidP="00112A93">
      <w:pPr>
        <w:rPr>
          <w:sz w:val="22"/>
          <w:szCs w:val="22"/>
        </w:rPr>
      </w:pPr>
    </w:p>
    <w:p w14:paraId="45878174" w14:textId="77777777" w:rsidR="00A3181E" w:rsidRPr="004A3505" w:rsidRDefault="00A3181E" w:rsidP="00112A93">
      <w:pPr>
        <w:rPr>
          <w:sz w:val="22"/>
          <w:szCs w:val="22"/>
        </w:rPr>
      </w:pP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lastRenderedPageBreak/>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3485"/>
    <w:rsid w:val="00017767"/>
    <w:rsid w:val="000223A0"/>
    <w:rsid w:val="0002754D"/>
    <w:rsid w:val="000340C7"/>
    <w:rsid w:val="000375E8"/>
    <w:rsid w:val="00041043"/>
    <w:rsid w:val="0005058D"/>
    <w:rsid w:val="00051A52"/>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F091D"/>
    <w:rsid w:val="006F446F"/>
    <w:rsid w:val="00701409"/>
    <w:rsid w:val="00716F22"/>
    <w:rsid w:val="00720D13"/>
    <w:rsid w:val="00740DD7"/>
    <w:rsid w:val="00771E85"/>
    <w:rsid w:val="007877B3"/>
    <w:rsid w:val="00787948"/>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20D86"/>
    <w:rsid w:val="00825E4C"/>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B0C39"/>
    <w:rsid w:val="008C0173"/>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6A8F"/>
    <w:rsid w:val="00996D37"/>
    <w:rsid w:val="009A1159"/>
    <w:rsid w:val="009A1DA8"/>
    <w:rsid w:val="009A5B0B"/>
    <w:rsid w:val="009A6540"/>
    <w:rsid w:val="009A6B7F"/>
    <w:rsid w:val="009A7BAE"/>
    <w:rsid w:val="009B2FDF"/>
    <w:rsid w:val="009B3488"/>
    <w:rsid w:val="009D0834"/>
    <w:rsid w:val="009D3860"/>
    <w:rsid w:val="009E11CE"/>
    <w:rsid w:val="009E40F4"/>
    <w:rsid w:val="009E6967"/>
    <w:rsid w:val="009F268D"/>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52ED5"/>
    <w:rsid w:val="00D668D7"/>
    <w:rsid w:val="00D73826"/>
    <w:rsid w:val="00D756DA"/>
    <w:rsid w:val="00D763C6"/>
    <w:rsid w:val="00D80C13"/>
    <w:rsid w:val="00D814B1"/>
    <w:rsid w:val="00D87844"/>
    <w:rsid w:val="00D941D7"/>
    <w:rsid w:val="00D96A35"/>
    <w:rsid w:val="00D97C06"/>
    <w:rsid w:val="00DB19A0"/>
    <w:rsid w:val="00DC47B6"/>
    <w:rsid w:val="00DD7AE1"/>
    <w:rsid w:val="00DE00DF"/>
    <w:rsid w:val="00DE28CC"/>
    <w:rsid w:val="00DE65CE"/>
    <w:rsid w:val="00DF0606"/>
    <w:rsid w:val="00DF70C1"/>
    <w:rsid w:val="00DF7E2A"/>
    <w:rsid w:val="00E04437"/>
    <w:rsid w:val="00E12986"/>
    <w:rsid w:val="00E139A6"/>
    <w:rsid w:val="00E1784C"/>
    <w:rsid w:val="00E21296"/>
    <w:rsid w:val="00E22979"/>
    <w:rsid w:val="00E3156F"/>
    <w:rsid w:val="00E456CA"/>
    <w:rsid w:val="00E51268"/>
    <w:rsid w:val="00E533BB"/>
    <w:rsid w:val="00E61DC7"/>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4F17"/>
    <w:rsid w:val="00F120B2"/>
    <w:rsid w:val="00F150FE"/>
    <w:rsid w:val="00F3382A"/>
    <w:rsid w:val="00F40151"/>
    <w:rsid w:val="00F439B6"/>
    <w:rsid w:val="00F459FE"/>
    <w:rsid w:val="00F47777"/>
    <w:rsid w:val="00F546E0"/>
    <w:rsid w:val="00F60A0D"/>
    <w:rsid w:val="00F60EFD"/>
    <w:rsid w:val="00F656F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22"/>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D3B50DC3-ED0A-AF40-8149-88C71C01F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20</Pages>
  <Words>4668</Words>
  <Characters>26613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307</cp:revision>
  <dcterms:created xsi:type="dcterms:W3CDTF">2022-06-25T00:51:00Z</dcterms:created>
  <dcterms:modified xsi:type="dcterms:W3CDTF">2022-07-24T02:56:00Z</dcterms:modified>
</cp:coreProperties>
</file>