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74328910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17DD390" w:rsidR="00EF1C16" w:rsidRPr="00EF1C16" w:rsidRDefault="00EF1C16" w:rsidP="00EF1C16">
      <w:pPr>
        <w:pStyle w:val="Heading4"/>
      </w:pPr>
      <w:r w:rsidRPr="00EF1C16">
        <w:t>Vanishing 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6C8CB369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1902A1" w:rsidRPr="001902A1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</w:t>
      </w:r>
      <w:r w:rsidR="00D87844">
        <w:rPr>
          <w:rFonts w:eastAsiaTheme="minorEastAsia"/>
          <w:sz w:val="22"/>
          <w:szCs w:val="22"/>
        </w:rPr>
        <w:lastRenderedPageBreak/>
        <w:t xml:space="preserve">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of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77777777" w:rsidR="005F4A5F" w:rsidRDefault="0013250B" w:rsidP="005F4A5F">
      <w:pPr>
        <w:rPr>
          <w:rFonts w:eastAsiaTheme="minorEastAsia"/>
          <w:iCs/>
          <w:sz w:val="22"/>
          <w:szCs w:val="22"/>
        </w:rPr>
      </w:pPr>
      <m:oMath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7539968B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gradients or exploding gradients.</w:t>
      </w:r>
    </w:p>
    <w:p w14:paraId="0AC35099" w14:textId="77777777" w:rsidR="00366F15" w:rsidRPr="00C50B1A" w:rsidRDefault="00366F15">
      <w:pPr>
        <w:rPr>
          <w:sz w:val="22"/>
          <w:szCs w:val="22"/>
        </w:rPr>
      </w:pPr>
    </w:p>
    <w:p w14:paraId="448D3E68" w14:textId="304CA439" w:rsidR="00B1441E" w:rsidRPr="00B1441E" w:rsidRDefault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lastRenderedPageBreak/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2464DDE6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5025BE" w:rsidRPr="00D87844">
            <w:rPr>
              <w:noProof/>
              <w:sz w:val="22"/>
              <w:szCs w:val="22"/>
            </w:rPr>
            <w:t xml:space="preserve"> 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166C94E7" w14:textId="77777777" w:rsidR="005025BE" w:rsidRPr="00D87844" w:rsidRDefault="009F6C12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sz w:val="22"/>
                  <w:szCs w:val="22"/>
                </w:rPr>
                <w:fldChar w:fldCharType="begin"/>
              </w:r>
              <w:r w:rsidRPr="00D87844">
                <w:rPr>
                  <w:sz w:val="22"/>
                  <w:szCs w:val="22"/>
                </w:rPr>
                <w:instrText xml:space="preserve"> BIBLIOGRAPHY </w:instrText>
              </w:r>
              <w:r w:rsidRPr="00D87844">
                <w:rPr>
                  <w:sz w:val="22"/>
                  <w:szCs w:val="22"/>
                </w:rPr>
                <w:fldChar w:fldCharType="separate"/>
              </w:r>
              <w:r w:rsidR="005025BE" w:rsidRPr="00D87844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5025BE" w:rsidRPr="00D87844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5025BE" w:rsidRPr="00D87844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5E990DAD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87844">
                <w:rPr>
                  <w:noProof/>
                  <w:sz w:val="22"/>
                  <w:szCs w:val="22"/>
                </w:rPr>
                <w:t>.</w:t>
              </w:r>
            </w:p>
            <w:p w14:paraId="30AE82AF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87844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1D84F70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87844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5025BE">
              <w:pPr>
                <w:rPr>
                  <w:sz w:val="22"/>
                  <w:szCs w:val="22"/>
                </w:rPr>
              </w:pPr>
              <w:r w:rsidRPr="00D87844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3E98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1441E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2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3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4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</b:Sources>
</file>

<file path=customXml/itemProps1.xml><?xml version="1.0" encoding="utf-8"?>
<ds:datastoreItem xmlns:ds="http://schemas.openxmlformats.org/officeDocument/2006/customXml" ds:itemID="{59102F10-35C5-EA43-9341-C15A0E75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10</Pages>
  <Words>2763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199</cp:revision>
  <dcterms:created xsi:type="dcterms:W3CDTF">2022-06-25T00:51:00Z</dcterms:created>
  <dcterms:modified xsi:type="dcterms:W3CDTF">2022-07-07T04:30:00Z</dcterms:modified>
</cp:coreProperties>
</file>