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DDA3B" w14:textId="1EA05E23" w:rsidR="00042DC8" w:rsidRPr="003308DB" w:rsidRDefault="002A2A81" w:rsidP="003308DB">
      <w:pPr>
        <w:pStyle w:val="Heading1"/>
        <w:rPr>
          <w:sz w:val="28"/>
          <w:szCs w:val="28"/>
        </w:rPr>
      </w:pPr>
      <w:r w:rsidRPr="003308DB">
        <w:rPr>
          <w:sz w:val="28"/>
          <w:szCs w:val="28"/>
        </w:rPr>
        <w:t>Understanding Long Short-Term Memory Architecture</w:t>
      </w:r>
    </w:p>
    <w:p w14:paraId="2E33BD35" w14:textId="0898426F" w:rsidR="002A2A81" w:rsidRDefault="002A2A81">
      <w:pPr>
        <w:rPr>
          <w:sz w:val="20"/>
          <w:szCs w:val="20"/>
        </w:rPr>
      </w:pPr>
      <w:r w:rsidRPr="002A2A81">
        <w:rPr>
          <w:sz w:val="20"/>
          <w:szCs w:val="20"/>
        </w:rPr>
        <w:t>Compiled</w:t>
      </w:r>
      <w:r>
        <w:rPr>
          <w:sz w:val="20"/>
          <w:szCs w:val="20"/>
        </w:rPr>
        <w:t xml:space="preserve"> by D. Gueorguiev 2/20/2024</w:t>
      </w:r>
    </w:p>
    <w:p w14:paraId="33A934D0" w14:textId="77777777" w:rsidR="002A2A81" w:rsidRDefault="002A2A81">
      <w:pPr>
        <w:rPr>
          <w:sz w:val="20"/>
          <w:szCs w:val="20"/>
        </w:rPr>
      </w:pPr>
    </w:p>
    <w:p w14:paraId="526069A1" w14:textId="780D634D" w:rsidR="003308DB" w:rsidRDefault="00EF67B8" w:rsidP="00EF67B8">
      <w:pPr>
        <w:pStyle w:val="Heading2"/>
      </w:pPr>
      <w:r>
        <w:t>Notation</w:t>
      </w:r>
    </w:p>
    <w:p w14:paraId="18FC6E22" w14:textId="08512567" w:rsidR="00EF67B8" w:rsidRDefault="00EF67B8">
      <w:pPr>
        <w:rPr>
          <w:sz w:val="20"/>
          <w:szCs w:val="20"/>
        </w:rPr>
      </w:pPr>
      <m:oMath>
        <m:r>
          <w:rPr>
            <w:rFonts w:ascii="Cambria Math" w:hAnsi="Cambria Math"/>
            <w:sz w:val="20"/>
            <w:szCs w:val="20"/>
          </w:rPr>
          <m:t>η</m:t>
        </m:r>
      </m:oMath>
      <w:r>
        <w:rPr>
          <w:sz w:val="20"/>
          <w:szCs w:val="20"/>
        </w:rPr>
        <w:t xml:space="preserve"> – learning rate of a network</w:t>
      </w:r>
    </w:p>
    <w:p w14:paraId="2A979F97" w14:textId="2AF4F959" w:rsidR="00EF67B8" w:rsidRDefault="004A0823">
      <w:pPr>
        <w:rPr>
          <w:sz w:val="20"/>
          <w:szCs w:val="20"/>
        </w:rPr>
      </w:pPr>
      <m:oMath>
        <m:r>
          <w:rPr>
            <w:rFonts w:ascii="Cambria Math" w:hAnsi="Cambria Math"/>
            <w:sz w:val="20"/>
            <w:szCs w:val="20"/>
          </w:rPr>
          <m:t>τ</m:t>
        </m:r>
      </m:oMath>
      <w:r>
        <w:rPr>
          <w:sz w:val="20"/>
          <w:szCs w:val="20"/>
        </w:rPr>
        <w:t xml:space="preserve"> – time unit</w:t>
      </w:r>
    </w:p>
    <w:p w14:paraId="30F51C69" w14:textId="7BE6A614" w:rsidR="004A0823" w:rsidRDefault="004A0823">
      <w:p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initial time of an epoch</w:t>
      </w:r>
    </w:p>
    <w:p w14:paraId="36F68E61" w14:textId="5AAC9406" w:rsidR="004A0823" w:rsidRDefault="004A0823">
      <w:pPr>
        <w:rPr>
          <w:sz w:val="20"/>
          <w:szCs w:val="20"/>
        </w:rPr>
      </w:pPr>
      <m:oMath>
        <m:r>
          <w:rPr>
            <w:rFonts w:ascii="Cambria Math" w:hAnsi="Cambria Math"/>
            <w:sz w:val="20"/>
            <w:szCs w:val="20"/>
          </w:rPr>
          <m:t>t</m:t>
        </m:r>
      </m:oMath>
      <w:r>
        <w:rPr>
          <w:sz w:val="20"/>
          <w:szCs w:val="20"/>
        </w:rPr>
        <w:t xml:space="preserve"> – final time of an epoch</w:t>
      </w:r>
    </w:p>
    <w:p w14:paraId="036701ED" w14:textId="261982F3" w:rsidR="004A0823" w:rsidRDefault="004A0823">
      <w:pPr>
        <w:rPr>
          <w:sz w:val="20"/>
          <w:szCs w:val="20"/>
        </w:rPr>
      </w:pPr>
      <m:oMath>
        <m:r>
          <m:rPr>
            <m:scr m:val="script"/>
          </m:rPr>
          <w:rPr>
            <w:rFonts w:ascii="Cambria Math" w:hAnsi="Cambria Math"/>
            <w:sz w:val="20"/>
            <w:szCs w:val="20"/>
          </w:rPr>
          <m:t>N</m:t>
        </m:r>
      </m:oMath>
      <w:r>
        <w:rPr>
          <w:sz w:val="20"/>
          <w:szCs w:val="20"/>
        </w:rPr>
        <w:t xml:space="preserve"> – the set of units in the network</w:t>
      </w:r>
    </w:p>
    <w:p w14:paraId="0804C29A" w14:textId="0114131C" w:rsidR="004A0823" w:rsidRPr="004A0823" w:rsidRDefault="004A0823">
      <w:pPr>
        <w:rPr>
          <w:sz w:val="20"/>
          <w:szCs w:val="20"/>
        </w:rPr>
      </w:pPr>
      <m:oMath>
        <m:r>
          <w:rPr>
            <w:rFonts w:ascii="Cambria Math" w:hAnsi="Cambria Math"/>
            <w:sz w:val="20"/>
            <w:szCs w:val="20"/>
          </w:rPr>
          <m:t>u, v, l, k</m:t>
        </m:r>
      </m:oMath>
      <w:r>
        <w:rPr>
          <w:sz w:val="20"/>
          <w:szCs w:val="20"/>
        </w:rPr>
        <w:t xml:space="preserve"> – </w:t>
      </w:r>
      <w:r w:rsidR="00B81F6C">
        <w:rPr>
          <w:sz w:val="20"/>
          <w:szCs w:val="20"/>
        </w:rPr>
        <w:t xml:space="preserve">(generic) </w:t>
      </w:r>
      <w:r>
        <w:rPr>
          <w:sz w:val="20"/>
          <w:szCs w:val="20"/>
        </w:rPr>
        <w:t xml:space="preserve">units in the network; </w:t>
      </w:r>
      <m:oMath>
        <m:r>
          <w:rPr>
            <w:rFonts w:ascii="Cambria Math" w:hAnsi="Cambria Math"/>
            <w:sz w:val="20"/>
            <w:szCs w:val="20"/>
          </w:rPr>
          <m:t>u, v, l, k</m:t>
        </m:r>
        <m:r>
          <m:rPr>
            <m:scr m:val="script"/>
          </m:rPr>
          <w:rPr>
            <w:rFonts w:ascii="Cambria Math" w:hAnsi="Cambria Math"/>
            <w:sz w:val="20"/>
            <w:szCs w:val="20"/>
          </w:rPr>
          <m:t>∈N</m:t>
        </m:r>
      </m:oMath>
    </w:p>
    <w:p w14:paraId="4D2B9DD8" w14:textId="22E44F3B" w:rsidR="004A0823" w:rsidRPr="004A0823" w:rsidRDefault="004A0823">
      <w:pPr>
        <w:rPr>
          <w:sz w:val="20"/>
          <w:szCs w:val="20"/>
        </w:rPr>
      </w:pPr>
      <m:oMath>
        <m:r>
          <m:rPr>
            <m:scr m:val="script"/>
          </m:rPr>
          <w:rPr>
            <w:rFonts w:ascii="Cambria Math" w:hAnsi="Cambria Math"/>
            <w:sz w:val="20"/>
            <w:szCs w:val="20"/>
          </w:rPr>
          <m:t>I</m:t>
        </m:r>
      </m:oMath>
      <w:r>
        <w:rPr>
          <w:sz w:val="20"/>
          <w:szCs w:val="20"/>
        </w:rPr>
        <w:t xml:space="preserve"> - the set of input units, </w:t>
      </w:r>
      <m:oMath>
        <m:r>
          <w:rPr>
            <w:rFonts w:ascii="Cambria Math" w:hAnsi="Cambria Math"/>
            <w:sz w:val="20"/>
            <w:szCs w:val="20"/>
          </w:rPr>
          <m:t>i</m:t>
        </m:r>
      </m:oMath>
      <w:r>
        <w:rPr>
          <w:sz w:val="20"/>
          <w:szCs w:val="20"/>
        </w:rPr>
        <w:t xml:space="preserve"> – input unit; </w:t>
      </w:r>
      <m:oMath>
        <m:r>
          <w:rPr>
            <w:rFonts w:ascii="Cambria Math" w:hAnsi="Cambria Math"/>
            <w:sz w:val="20"/>
            <w:szCs w:val="20"/>
          </w:rPr>
          <m:t>i</m:t>
        </m:r>
        <m:r>
          <w:rPr>
            <w:rFonts w:ascii="Cambria Math" w:hAnsi="Cambria Math"/>
            <w:sz w:val="20"/>
            <w:szCs w:val="20"/>
          </w:rPr>
          <m:t>∈</m:t>
        </m:r>
        <m:r>
          <m:rPr>
            <m:scr m:val="script"/>
          </m:rPr>
          <w:rPr>
            <w:rFonts w:ascii="Cambria Math" w:hAnsi="Cambria Math"/>
            <w:sz w:val="20"/>
            <w:szCs w:val="20"/>
          </w:rPr>
          <m:t>I</m:t>
        </m:r>
      </m:oMath>
    </w:p>
    <w:p w14:paraId="480D9D7F" w14:textId="211C6C62" w:rsidR="002A2A81" w:rsidRDefault="00A07089">
      <w:pPr>
        <w:rPr>
          <w:sz w:val="20"/>
          <w:szCs w:val="20"/>
        </w:rPr>
      </w:pPr>
      <m:oMath>
        <m:r>
          <m:rPr>
            <m:scr m:val="script"/>
          </m:rPr>
          <w:rPr>
            <w:rFonts w:ascii="Cambria Math" w:hAnsi="Cambria Math"/>
            <w:sz w:val="20"/>
            <w:szCs w:val="20"/>
          </w:rPr>
          <m:t>O</m:t>
        </m:r>
      </m:oMath>
      <w:r>
        <w:rPr>
          <w:sz w:val="20"/>
          <w:szCs w:val="20"/>
        </w:rPr>
        <w:t xml:space="preserve"> -  the set of output units, </w:t>
      </w:r>
      <m:oMath>
        <m:r>
          <w:rPr>
            <w:rFonts w:ascii="Cambria Math" w:hAnsi="Cambria Math"/>
            <w:sz w:val="20"/>
            <w:szCs w:val="20"/>
          </w:rPr>
          <m:t>o</m:t>
        </m:r>
      </m:oMath>
      <w:r>
        <w:rPr>
          <w:sz w:val="20"/>
          <w:szCs w:val="20"/>
        </w:rPr>
        <w:t xml:space="preserve"> – output unit; </w:t>
      </w:r>
      <m:oMath>
        <m:r>
          <w:rPr>
            <w:rFonts w:ascii="Cambria Math" w:hAnsi="Cambria Math"/>
            <w:sz w:val="20"/>
            <w:szCs w:val="20"/>
          </w:rPr>
          <m:t>o</m:t>
        </m:r>
        <m:r>
          <w:rPr>
            <w:rFonts w:ascii="Cambria Math" w:hAnsi="Cambria Math"/>
            <w:sz w:val="20"/>
            <w:szCs w:val="20"/>
          </w:rPr>
          <m:t>∈</m:t>
        </m:r>
        <m:r>
          <m:rPr>
            <m:scr m:val="script"/>
          </m:rPr>
          <w:rPr>
            <w:rFonts w:ascii="Cambria Math" w:hAnsi="Cambria Math"/>
            <w:sz w:val="20"/>
            <w:szCs w:val="20"/>
          </w:rPr>
          <m:t>O</m:t>
        </m:r>
      </m:oMath>
    </w:p>
    <w:p w14:paraId="16E66FBB" w14:textId="4BC23520" w:rsidR="00A07089" w:rsidRDefault="00A07089">
      <w:pPr>
        <w:rPr>
          <w:sz w:val="20"/>
          <w:szCs w:val="20"/>
        </w:rPr>
      </w:pPr>
      <m:oMath>
        <m:r>
          <m:rPr>
            <m:scr m:val="script"/>
          </m:rPr>
          <w:rPr>
            <w:rFonts w:ascii="Cambria Math" w:hAnsi="Cambria Math"/>
            <w:sz w:val="20"/>
            <w:szCs w:val="20"/>
          </w:rPr>
          <m:t>U</m:t>
        </m:r>
      </m:oMath>
      <w:r>
        <w:rPr>
          <w:sz w:val="20"/>
          <w:szCs w:val="20"/>
        </w:rPr>
        <w:t xml:space="preserve"> – the set of non-input units, </w:t>
      </w:r>
      <m:oMath>
        <m:r>
          <w:rPr>
            <w:rFonts w:ascii="Cambria Math" w:hAnsi="Cambria Math"/>
            <w:sz w:val="20"/>
            <w:szCs w:val="20"/>
          </w:rPr>
          <m:t>u</m:t>
        </m:r>
      </m:oMath>
      <w:r>
        <w:rPr>
          <w:sz w:val="20"/>
          <w:szCs w:val="20"/>
        </w:rPr>
        <w:t xml:space="preserve"> – generic or non-input unit; </w:t>
      </w:r>
      <m:oMath>
        <m:r>
          <w:rPr>
            <w:rFonts w:ascii="Cambria Math" w:hAnsi="Cambria Math"/>
            <w:sz w:val="20"/>
            <w:szCs w:val="20"/>
          </w:rPr>
          <m:t>u</m:t>
        </m:r>
        <m:r>
          <m:rPr>
            <m:scr m:val="script"/>
          </m:rPr>
          <w:rPr>
            <w:rFonts w:ascii="Cambria Math" w:hAnsi="Cambria Math"/>
            <w:sz w:val="20"/>
            <w:szCs w:val="20"/>
          </w:rPr>
          <m:t>∈U</m:t>
        </m:r>
      </m:oMath>
    </w:p>
    <w:p w14:paraId="79935304" w14:textId="42785095" w:rsidR="00A07089" w:rsidRDefault="00A2167C">
      <w:pPr>
        <w:rPr>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oMath>
      <w:r>
        <w:rPr>
          <w:sz w:val="20"/>
          <w:szCs w:val="20"/>
        </w:rPr>
        <w:t xml:space="preserve">- the output of unit </w:t>
      </w:r>
      <m:oMath>
        <m:r>
          <w:rPr>
            <w:rFonts w:ascii="Cambria Math" w:hAnsi="Cambria Math"/>
            <w:sz w:val="20"/>
            <w:szCs w:val="20"/>
          </w:rPr>
          <m:t>u</m:t>
        </m:r>
      </m:oMath>
      <w:r>
        <w:rPr>
          <w:sz w:val="20"/>
          <w:szCs w:val="20"/>
        </w:rPr>
        <w:t>; the output of a unit is scalar</w:t>
      </w:r>
    </w:p>
    <w:p w14:paraId="60C70071" w14:textId="74B8553B" w:rsidR="00A2167C" w:rsidRDefault="00A2167C">
      <w:pPr>
        <w:rPr>
          <w:sz w:val="20"/>
          <w:szCs w:val="20"/>
        </w:rPr>
      </w:pPr>
      <m:oMath>
        <m:r>
          <m:rPr>
            <m:sty m:val="p"/>
          </m:rPr>
          <w:rPr>
            <w:rFonts w:ascii="Cambria Math" w:hAnsi="Cambria Math"/>
            <w:sz w:val="20"/>
            <w:szCs w:val="20"/>
          </w:rPr>
          <m:t>Pre</m:t>
        </m:r>
        <m:d>
          <m:dPr>
            <m:ctrlPr>
              <w:rPr>
                <w:rFonts w:ascii="Cambria Math" w:hAnsi="Cambria Math"/>
                <w:i/>
                <w:sz w:val="20"/>
                <w:szCs w:val="20"/>
              </w:rPr>
            </m:ctrlPr>
          </m:dPr>
          <m:e>
            <m:r>
              <w:rPr>
                <w:rFonts w:ascii="Cambria Math" w:hAnsi="Cambria Math"/>
                <w:sz w:val="20"/>
                <w:szCs w:val="20"/>
              </w:rPr>
              <m:t>u</m:t>
            </m:r>
          </m:e>
        </m:d>
      </m:oMath>
      <w:r>
        <w:rPr>
          <w:sz w:val="20"/>
          <w:szCs w:val="20"/>
        </w:rPr>
        <w:t xml:space="preserve"> – the set of units with connections to a unit </w:t>
      </w:r>
      <m:oMath>
        <m:r>
          <w:rPr>
            <w:rFonts w:ascii="Cambria Math" w:hAnsi="Cambria Math"/>
            <w:sz w:val="20"/>
            <w:szCs w:val="20"/>
          </w:rPr>
          <m:t>u</m:t>
        </m:r>
      </m:oMath>
      <w:r>
        <w:rPr>
          <w:sz w:val="20"/>
          <w:szCs w:val="20"/>
        </w:rPr>
        <w:t xml:space="preserve"> ; i.e. its predecessors</w:t>
      </w:r>
    </w:p>
    <w:p w14:paraId="552CA5F6" w14:textId="714E190E" w:rsidR="00A2167C" w:rsidRDefault="00A2167C">
      <w:pPr>
        <w:rPr>
          <w:sz w:val="20"/>
          <w:szCs w:val="20"/>
        </w:rPr>
      </w:pPr>
      <m:oMath>
        <m:r>
          <m:rPr>
            <m:sty m:val="p"/>
          </m:rPr>
          <w:rPr>
            <w:rFonts w:ascii="Cambria Math" w:hAnsi="Cambria Math"/>
            <w:sz w:val="20"/>
            <w:szCs w:val="20"/>
          </w:rPr>
          <m:t>Suc</m:t>
        </m:r>
        <m:d>
          <m:dPr>
            <m:ctrlPr>
              <w:rPr>
                <w:rFonts w:ascii="Cambria Math" w:hAnsi="Cambria Math"/>
                <w:i/>
                <w:sz w:val="20"/>
                <w:szCs w:val="20"/>
              </w:rPr>
            </m:ctrlPr>
          </m:dPr>
          <m:e>
            <m:r>
              <w:rPr>
                <w:rFonts w:ascii="Cambria Math" w:hAnsi="Cambria Math"/>
                <w:sz w:val="20"/>
                <w:szCs w:val="20"/>
              </w:rPr>
              <m:t>u</m:t>
            </m:r>
          </m:e>
        </m:d>
      </m:oMath>
      <w:r>
        <w:rPr>
          <w:sz w:val="20"/>
          <w:szCs w:val="20"/>
        </w:rPr>
        <w:t xml:space="preserve"> – the set of units with connections from a unit </w:t>
      </w:r>
      <m:oMath>
        <m:r>
          <w:rPr>
            <w:rFonts w:ascii="Cambria Math" w:hAnsi="Cambria Math"/>
            <w:sz w:val="20"/>
            <w:szCs w:val="20"/>
          </w:rPr>
          <m:t>u</m:t>
        </m:r>
      </m:oMath>
      <w:r>
        <w:rPr>
          <w:sz w:val="20"/>
          <w:szCs w:val="20"/>
        </w:rPr>
        <w:t>; i.e. its successors</w:t>
      </w:r>
    </w:p>
    <w:p w14:paraId="72362875" w14:textId="05EDF6E8" w:rsidR="00A2167C" w:rsidRDefault="000C6160">
      <w:pPr>
        <w:rPr>
          <w:sz w:val="20"/>
          <w:szCs w:val="20"/>
        </w:rPr>
      </w:pPr>
      <m:oMath>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v,u</m:t>
                </m:r>
              </m:e>
            </m:d>
          </m:sub>
        </m:sSub>
      </m:oMath>
      <w:r>
        <w:rPr>
          <w:sz w:val="20"/>
          <w:szCs w:val="20"/>
        </w:rPr>
        <w:t xml:space="preserve">- the weight that connects the unit </w:t>
      </w:r>
      <m:oMath>
        <m:r>
          <w:rPr>
            <w:rFonts w:ascii="Cambria Math" w:hAnsi="Cambria Math"/>
            <w:sz w:val="20"/>
            <w:szCs w:val="20"/>
          </w:rPr>
          <m:t>v</m:t>
        </m:r>
      </m:oMath>
      <w:r>
        <w:rPr>
          <w:sz w:val="20"/>
          <w:szCs w:val="20"/>
        </w:rPr>
        <w:t xml:space="preserve"> to unit </w:t>
      </w:r>
      <m:oMath>
        <m:r>
          <w:rPr>
            <w:rFonts w:ascii="Cambria Math" w:hAnsi="Cambria Math"/>
            <w:sz w:val="20"/>
            <w:szCs w:val="20"/>
          </w:rPr>
          <m:t>u</m:t>
        </m:r>
      </m:oMath>
    </w:p>
    <w:p w14:paraId="66DF8CA6" w14:textId="30925039" w:rsidR="000C6160" w:rsidRDefault="00483473">
      <w:pPr>
        <w:rPr>
          <w:sz w:val="20"/>
          <w:szCs w:val="20"/>
        </w:rPr>
      </w:pPr>
      <m:oMath>
        <m:sSub>
          <m:sSubPr>
            <m:ctrlPr>
              <w:rPr>
                <w:rFonts w:ascii="Cambria Math" w:hAnsi="Cambria Math"/>
                <w:i/>
                <w:sz w:val="20"/>
                <w:szCs w:val="20"/>
              </w:rPr>
            </m:ctrlPr>
          </m:sSubPr>
          <m:e>
            <m:r>
              <w:rPr>
                <w:rFonts w:ascii="Cambria Math" w:hAnsi="Cambria Math"/>
                <w:sz w:val="20"/>
                <w:szCs w:val="20"/>
              </w:rPr>
              <m:t>X</m:t>
            </m:r>
          </m:e>
          <m:sub>
            <m:d>
              <m:dPr>
                <m:begChr m:val="["/>
                <m:endChr m:val="]"/>
                <m:ctrlPr>
                  <w:rPr>
                    <w:rFonts w:ascii="Cambria Math" w:hAnsi="Cambria Math"/>
                    <w:i/>
                    <w:sz w:val="20"/>
                    <w:szCs w:val="20"/>
                  </w:rPr>
                </m:ctrlPr>
              </m:dPr>
              <m:e>
                <m:r>
                  <w:rPr>
                    <w:rFonts w:ascii="Cambria Math" w:hAnsi="Cambria Math"/>
                    <w:sz w:val="20"/>
                    <w:szCs w:val="20"/>
                  </w:rPr>
                  <m:t>v,u</m:t>
                </m:r>
              </m:e>
            </m:d>
          </m:sub>
        </m:sSub>
      </m:oMath>
      <w:r>
        <w:rPr>
          <w:sz w:val="20"/>
          <w:szCs w:val="20"/>
        </w:rPr>
        <w:t xml:space="preserve">- the input from a unit </w:t>
      </w:r>
      <m:oMath>
        <m:r>
          <w:rPr>
            <w:rFonts w:ascii="Cambria Math" w:hAnsi="Cambria Math"/>
            <w:sz w:val="20"/>
            <w:szCs w:val="20"/>
          </w:rPr>
          <m:t>u</m:t>
        </m:r>
      </m:oMath>
      <w:r>
        <w:rPr>
          <w:sz w:val="20"/>
          <w:szCs w:val="20"/>
        </w:rPr>
        <w:t xml:space="preserve"> coming from a unit </w:t>
      </w:r>
      <m:oMath>
        <m:r>
          <w:rPr>
            <w:rFonts w:ascii="Cambria Math" w:hAnsi="Cambria Math"/>
            <w:sz w:val="20"/>
            <w:szCs w:val="20"/>
          </w:rPr>
          <m:t>v</m:t>
        </m:r>
      </m:oMath>
    </w:p>
    <w:p w14:paraId="727FC0C4" w14:textId="49C8F136" w:rsidR="00483473" w:rsidRDefault="00B81F6C">
      <w:pPr>
        <w:rPr>
          <w:sz w:val="20"/>
          <w:szCs w:val="20"/>
        </w:rPr>
      </w:p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oMath>
      <w:r>
        <w:rPr>
          <w:sz w:val="20"/>
          <w:szCs w:val="20"/>
        </w:rPr>
        <w:t xml:space="preserve"> – the weighted input of the unit </w:t>
      </w:r>
      <m:oMath>
        <m:r>
          <w:rPr>
            <w:rFonts w:ascii="Cambria Math" w:hAnsi="Cambria Math"/>
            <w:sz w:val="20"/>
            <w:szCs w:val="20"/>
          </w:rPr>
          <m:t>u</m:t>
        </m:r>
      </m:oMath>
    </w:p>
    <w:p w14:paraId="250FA1BB" w14:textId="34BD6745" w:rsidR="00B81F6C" w:rsidRDefault="00B81F6C">
      <w:pPr>
        <w:rPr>
          <w:sz w:val="20"/>
          <w:szCs w:val="20"/>
        </w:rPr>
      </w:p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u</m:t>
            </m:r>
          </m:sub>
        </m:sSub>
      </m:oMath>
      <w:r>
        <w:rPr>
          <w:sz w:val="20"/>
          <w:szCs w:val="20"/>
        </w:rPr>
        <w:t xml:space="preserve">- the bias of the unit </w:t>
      </w:r>
      <m:oMath>
        <m:r>
          <w:rPr>
            <w:rFonts w:ascii="Cambria Math" w:hAnsi="Cambria Math"/>
            <w:sz w:val="20"/>
            <w:szCs w:val="20"/>
          </w:rPr>
          <m:t>u</m:t>
        </m:r>
      </m:oMath>
    </w:p>
    <w:p w14:paraId="7A4EE705" w14:textId="597DB075" w:rsidR="00B81F6C" w:rsidRDefault="00AD7599">
      <w:pPr>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oMath>
      <w:r>
        <w:rPr>
          <w:sz w:val="20"/>
          <w:szCs w:val="20"/>
        </w:rPr>
        <w:t xml:space="preserve">- the state of the unit </w:t>
      </w:r>
      <m:oMath>
        <m:r>
          <w:rPr>
            <w:rFonts w:ascii="Cambria Math" w:hAnsi="Cambria Math"/>
            <w:sz w:val="20"/>
            <w:szCs w:val="20"/>
          </w:rPr>
          <m:t>u</m:t>
        </m:r>
      </m:oMath>
    </w:p>
    <w:p w14:paraId="5A765BCA" w14:textId="0AB32DE8" w:rsidR="00AD7599" w:rsidRDefault="000638FA">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u</m:t>
            </m:r>
          </m:sub>
        </m:sSub>
      </m:oMath>
      <w:r>
        <w:rPr>
          <w:sz w:val="20"/>
          <w:szCs w:val="20"/>
        </w:rPr>
        <w:t xml:space="preserve"> – the squashing function of unit </w:t>
      </w:r>
      <m:oMath>
        <m:r>
          <w:rPr>
            <w:rFonts w:ascii="Cambria Math" w:hAnsi="Cambria Math"/>
            <w:sz w:val="20"/>
            <w:szCs w:val="20"/>
          </w:rPr>
          <m:t>u</m:t>
        </m:r>
      </m:oMath>
    </w:p>
    <w:p w14:paraId="47390853" w14:textId="7234D32D" w:rsidR="000638FA" w:rsidRDefault="007D7DE8">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u</m:t>
            </m:r>
          </m:sub>
        </m:sSub>
      </m:oMath>
      <w:r>
        <w:rPr>
          <w:sz w:val="20"/>
          <w:szCs w:val="20"/>
        </w:rPr>
        <w:t xml:space="preserve">-the error of unit </w:t>
      </w:r>
      <m:oMath>
        <m:r>
          <w:rPr>
            <w:rFonts w:ascii="Cambria Math" w:hAnsi="Cambria Math"/>
            <w:sz w:val="20"/>
            <w:szCs w:val="20"/>
          </w:rPr>
          <m:t>u</m:t>
        </m:r>
      </m:oMath>
    </w:p>
    <w:p w14:paraId="7680B273" w14:textId="33B8A7A8" w:rsidR="007D7DE8" w:rsidRDefault="007D7DE8">
      <w:pPr>
        <w:rPr>
          <w:sz w:val="20"/>
          <w:szCs w:val="20"/>
        </w:rPr>
      </w:pPr>
      <m:oMath>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u</m:t>
            </m:r>
          </m:sub>
        </m:sSub>
      </m:oMath>
      <w:r>
        <w:rPr>
          <w:sz w:val="20"/>
          <w:szCs w:val="20"/>
        </w:rPr>
        <w:t xml:space="preserve">-the error signal of unit </w:t>
      </w:r>
      <m:oMath>
        <m:r>
          <w:rPr>
            <w:rFonts w:ascii="Cambria Math" w:hAnsi="Cambria Math"/>
            <w:sz w:val="20"/>
            <w:szCs w:val="20"/>
          </w:rPr>
          <m:t>u</m:t>
        </m:r>
      </m:oMath>
    </w:p>
    <w:p w14:paraId="26285E2D" w14:textId="4D9F115C" w:rsidR="007D7DE8" w:rsidRDefault="007D7DE8">
      <w:pPr>
        <w:rPr>
          <w:sz w:val="20"/>
          <w:szCs w:val="20"/>
        </w:rPr>
      </w:pP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uv</m:t>
            </m:r>
          </m:sub>
          <m:sup>
            <m:r>
              <w:rPr>
                <w:rFonts w:ascii="Cambria Math" w:hAnsi="Cambria Math"/>
                <w:sz w:val="20"/>
                <w:szCs w:val="20"/>
              </w:rPr>
              <m:t>k</m:t>
            </m:r>
          </m:sup>
        </m:sSubSup>
      </m:oMath>
      <w:r>
        <w:rPr>
          <w:sz w:val="20"/>
          <w:szCs w:val="20"/>
        </w:rPr>
        <w:t xml:space="preserve"> – the output sensitivity of the unit </w:t>
      </w:r>
      <m:oMath>
        <m:r>
          <w:rPr>
            <w:rFonts w:ascii="Cambria Math" w:hAnsi="Cambria Math"/>
            <w:sz w:val="20"/>
            <w:szCs w:val="20"/>
          </w:rPr>
          <m:t>k</m:t>
        </m:r>
      </m:oMath>
      <w:r>
        <w:rPr>
          <w:sz w:val="20"/>
          <w:szCs w:val="20"/>
        </w:rPr>
        <w:t xml:space="preserve"> with respect to the weight </w:t>
      </w:r>
      <m:oMath>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oMath>
    </w:p>
    <w:p w14:paraId="3550B94A" w14:textId="77777777" w:rsidR="007D7DE8" w:rsidRDefault="007D7DE8">
      <w:pPr>
        <w:rPr>
          <w:sz w:val="20"/>
          <w:szCs w:val="20"/>
        </w:rPr>
      </w:pPr>
    </w:p>
    <w:p w14:paraId="042A5380" w14:textId="6928D3EA" w:rsidR="007D7DE8" w:rsidRDefault="00CE552C" w:rsidP="001161F5">
      <w:pPr>
        <w:pStyle w:val="Heading2"/>
      </w:pPr>
      <w:r>
        <w:t>Perceptron</w:t>
      </w:r>
      <w:r w:rsidR="001161F5">
        <w:t xml:space="preserve"> and the Delta Learning Rule</w:t>
      </w:r>
    </w:p>
    <w:p w14:paraId="3F44C888" w14:textId="77777777" w:rsidR="001161F5" w:rsidRDefault="001161F5">
      <w:pPr>
        <w:rPr>
          <w:sz w:val="20"/>
          <w:szCs w:val="20"/>
        </w:rPr>
      </w:pPr>
    </w:p>
    <w:p w14:paraId="7741843C" w14:textId="1BDD3335" w:rsidR="001161F5" w:rsidRDefault="001161F5">
      <w:pPr>
        <w:rPr>
          <w:sz w:val="20"/>
          <w:szCs w:val="20"/>
        </w:rPr>
      </w:pPr>
      <w:r w:rsidRPr="001161F5">
        <w:rPr>
          <w:b/>
          <w:bCs/>
          <w:sz w:val="20"/>
          <w:szCs w:val="20"/>
        </w:rPr>
        <w:t>Definition</w:t>
      </w:r>
      <w:r>
        <w:rPr>
          <w:sz w:val="20"/>
          <w:szCs w:val="20"/>
        </w:rPr>
        <w:t xml:space="preserve"> Perceptron</w:t>
      </w:r>
    </w:p>
    <w:p w14:paraId="3863ADE0" w14:textId="1AF2023E" w:rsidR="001161F5" w:rsidRDefault="000561C4">
      <w:pPr>
        <w:rPr>
          <w:sz w:val="20"/>
          <w:szCs w:val="20"/>
        </w:rPr>
      </w:pPr>
      <w:r>
        <w:rPr>
          <w:sz w:val="20"/>
          <w:szCs w:val="20"/>
        </w:rPr>
        <w:t xml:space="preserve">Given the input vector </w:t>
      </w:r>
      <m:oMath>
        <m:r>
          <w:rPr>
            <w:rFonts w:ascii="Cambria Math" w:hAnsi="Cambria Math"/>
            <w:sz w:val="20"/>
            <w:szCs w:val="20"/>
          </w:rPr>
          <m:t>x</m:t>
        </m:r>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and trained weights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oMath>
      <w:r>
        <w:rPr>
          <w:sz w:val="20"/>
          <w:szCs w:val="20"/>
        </w:rPr>
        <w:t xml:space="preserve">, the perceptron outputs </w:t>
      </w:r>
      <m:oMath>
        <m:r>
          <w:rPr>
            <w:rFonts w:ascii="Cambria Math" w:hAnsi="Cambria Math"/>
            <w:sz w:val="20"/>
            <w:szCs w:val="20"/>
          </w:rPr>
          <m:t>y</m:t>
        </m:r>
      </m:oMath>
      <w:r w:rsidR="003F0617">
        <w:rPr>
          <w:sz w:val="20"/>
          <w:szCs w:val="20"/>
        </w:rPr>
        <w:t>, which is computed as</w:t>
      </w:r>
    </w:p>
    <w:p w14:paraId="2018CA3E" w14:textId="77777777" w:rsidR="003F0617" w:rsidRDefault="003F0617">
      <w:pPr>
        <w:rPr>
          <w:sz w:val="20"/>
          <w:szCs w:val="20"/>
        </w:rPr>
      </w:pPr>
    </w:p>
    <w:p w14:paraId="08DF56CB" w14:textId="606B00EE" w:rsidR="003F0617" w:rsidRDefault="003F0617">
      <w:pPr>
        <w:rPr>
          <w:sz w:val="20"/>
          <w:szCs w:val="20"/>
        </w:rPr>
      </w:pPr>
      <m:oMath>
        <m:r>
          <w:rPr>
            <w:rFonts w:ascii="Cambria Math" w:hAnsi="Cambria Math"/>
            <w:sz w:val="20"/>
            <w:szCs w:val="20"/>
          </w:rPr>
          <m:t>y</m:t>
        </m:r>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+b&gt;0</m:t>
                      </m:r>
                    </m:e>
                  </m:nary>
                  <m:r>
                    <w:rPr>
                      <w:rFonts w:ascii="Cambria Math" w:hAnsi="Cambria Math"/>
                      <w:sz w:val="20"/>
                      <w:szCs w:val="20"/>
                    </w:rPr>
                    <m:t xml:space="preserve"> </m:t>
                  </m:r>
                </m:e>
              </m:mr>
              <m:mr>
                <m:e>
                  <m:r>
                    <w:rPr>
                      <w:rFonts w:ascii="Cambria Math" w:hAnsi="Cambria Math"/>
                      <w:sz w:val="20"/>
                      <w:szCs w:val="20"/>
                    </w:rPr>
                    <m:t xml:space="preserve">-1  </m:t>
                  </m:r>
                  <m:r>
                    <m:rPr>
                      <m:sty m:val="p"/>
                    </m:rPr>
                    <w:rPr>
                      <w:rFonts w:ascii="Cambria Math" w:hAnsi="Cambria Math"/>
                      <w:sz w:val="20"/>
                      <w:szCs w:val="20"/>
                    </w:rPr>
                    <m:t>otherwise</m:t>
                  </m:r>
                  <m:r>
                    <m:rPr>
                      <m:sty m:val="p"/>
                    </m:rPr>
                    <w:rPr>
                      <w:rFonts w:ascii="Cambria Math" w:hAnsi="Cambria Math"/>
                      <w:sz w:val="20"/>
                      <w:szCs w:val="20"/>
                    </w:rPr>
                    <m:t xml:space="preserve">                        </m:t>
                  </m:r>
                </m:e>
              </m:mr>
            </m:m>
          </m:e>
        </m:d>
      </m:oMath>
      <w:r>
        <w:rPr>
          <w:sz w:val="20"/>
          <w:szCs w:val="20"/>
        </w:rPr>
        <w:t xml:space="preserve"> </w:t>
      </w:r>
    </w:p>
    <w:p w14:paraId="64DA128B" w14:textId="77777777" w:rsidR="003F0617" w:rsidRDefault="003F0617">
      <w:pPr>
        <w:rPr>
          <w:sz w:val="20"/>
          <w:szCs w:val="20"/>
        </w:rPr>
      </w:pPr>
    </w:p>
    <w:p w14:paraId="176076BB" w14:textId="1AFADAEF" w:rsidR="003F0617" w:rsidRDefault="003F0617">
      <w:pPr>
        <w:rPr>
          <w:sz w:val="20"/>
          <w:szCs w:val="20"/>
        </w:rPr>
      </w:pPr>
      <w:r>
        <w:rPr>
          <w:sz w:val="20"/>
          <w:szCs w:val="20"/>
        </w:rPr>
        <w:t xml:space="preserve">We refer to </w:t>
      </w:r>
      <m:oMath>
        <m:r>
          <w:rPr>
            <w:rFonts w:ascii="Cambria Math" w:hAnsi="Cambria Math"/>
            <w:sz w:val="20"/>
            <w:szCs w:val="20"/>
          </w:rPr>
          <m:t>z</m:t>
        </m:r>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oMath>
      <w:r>
        <w:rPr>
          <w:sz w:val="20"/>
          <w:szCs w:val="20"/>
        </w:rPr>
        <w:t xml:space="preserve"> as the </w:t>
      </w:r>
      <w:r w:rsidRPr="003F0617">
        <w:rPr>
          <w:i/>
          <w:iCs/>
          <w:sz w:val="20"/>
          <w:szCs w:val="20"/>
        </w:rPr>
        <w:t>weighted input</w:t>
      </w:r>
      <w:r>
        <w:rPr>
          <w:sz w:val="20"/>
          <w:szCs w:val="20"/>
        </w:rPr>
        <w:t xml:space="preserve"> and to </w:t>
      </w:r>
      <m:oMath>
        <m:r>
          <w:rPr>
            <w:rFonts w:ascii="Cambria Math" w:hAnsi="Cambria Math"/>
            <w:sz w:val="20"/>
            <w:szCs w:val="20"/>
          </w:rPr>
          <m:t>s = z + b</m:t>
        </m:r>
      </m:oMath>
      <w:r>
        <w:rPr>
          <w:sz w:val="20"/>
          <w:szCs w:val="20"/>
        </w:rPr>
        <w:t xml:space="preserve"> as the perceptron’s </w:t>
      </w:r>
      <w:r w:rsidRPr="003F0617">
        <w:rPr>
          <w:i/>
          <w:iCs/>
          <w:sz w:val="20"/>
          <w:szCs w:val="20"/>
        </w:rPr>
        <w:t>state</w:t>
      </w:r>
      <w:r>
        <w:rPr>
          <w:sz w:val="20"/>
          <w:szCs w:val="20"/>
        </w:rPr>
        <w:t xml:space="preserve">. For perceptron to fire, its state </w:t>
      </w:r>
      <m:oMath>
        <m:r>
          <w:rPr>
            <w:rFonts w:ascii="Cambria Math" w:hAnsi="Cambria Math"/>
            <w:sz w:val="20"/>
            <w:szCs w:val="20"/>
          </w:rPr>
          <m:t>s</m:t>
        </m:r>
      </m:oMath>
      <w:r>
        <w:rPr>
          <w:sz w:val="20"/>
          <w:szCs w:val="20"/>
        </w:rPr>
        <w:t xml:space="preserve"> must exceed the value of the threshold. </w:t>
      </w:r>
    </w:p>
    <w:p w14:paraId="386DEBAE" w14:textId="77777777" w:rsidR="003F0617" w:rsidRDefault="003F0617">
      <w:pPr>
        <w:rPr>
          <w:sz w:val="20"/>
          <w:szCs w:val="20"/>
        </w:rPr>
      </w:pPr>
    </w:p>
    <w:p w14:paraId="488B5BFB" w14:textId="25548174" w:rsidR="00351943" w:rsidRDefault="00351943">
      <w:pPr>
        <w:rPr>
          <w:sz w:val="20"/>
          <w:szCs w:val="20"/>
        </w:rPr>
      </w:pPr>
      <w:r>
        <w:rPr>
          <w:sz w:val="20"/>
          <w:szCs w:val="20"/>
        </w:rPr>
        <w:t>In cases of misclassification the Perceptron  modifies weights accordingly. The perceptron will converge to reproduce the correct behavior provided that the training examples are linearly separable. Convergence is not assured if the training data is not linearly separable (Note: the proof is in Marvin Minsky’s book on Perceptrons).</w:t>
      </w:r>
    </w:p>
    <w:p w14:paraId="39A0B92D" w14:textId="77777777" w:rsidR="00351943" w:rsidRDefault="00351943">
      <w:pPr>
        <w:rPr>
          <w:sz w:val="20"/>
          <w:szCs w:val="20"/>
        </w:rPr>
      </w:pPr>
    </w:p>
    <w:p w14:paraId="05A6C902" w14:textId="51C016B4" w:rsidR="003F0617" w:rsidRDefault="003F0617" w:rsidP="003F0617">
      <w:pPr>
        <w:pStyle w:val="Heading3"/>
      </w:pPr>
      <w:r>
        <w:t>The Delta Learning Rule</w:t>
      </w:r>
    </w:p>
    <w:p w14:paraId="4B649C50" w14:textId="77777777" w:rsidR="003F0617" w:rsidRDefault="003F0617">
      <w:pPr>
        <w:rPr>
          <w:sz w:val="20"/>
          <w:szCs w:val="20"/>
        </w:rPr>
      </w:pPr>
    </w:p>
    <w:p w14:paraId="5DBDA705" w14:textId="78AA2F82" w:rsidR="00EB654C" w:rsidRDefault="00EB654C">
      <w:pPr>
        <w:rPr>
          <w:sz w:val="20"/>
          <w:szCs w:val="20"/>
        </w:rPr>
      </w:pPr>
    </w:p>
    <w:p w14:paraId="15D12BD6" w14:textId="77777777" w:rsidR="00351943" w:rsidRDefault="00351943">
      <w:pPr>
        <w:rPr>
          <w:sz w:val="20"/>
          <w:szCs w:val="20"/>
        </w:rPr>
      </w:pPr>
    </w:p>
    <w:p w14:paraId="456D890A" w14:textId="77777777" w:rsidR="00351943" w:rsidRDefault="00351943">
      <w:pPr>
        <w:rPr>
          <w:sz w:val="20"/>
          <w:szCs w:val="20"/>
        </w:rPr>
      </w:pPr>
    </w:p>
    <w:p w14:paraId="2A8F97C0" w14:textId="77777777" w:rsidR="00EB654C" w:rsidRDefault="00EB654C">
      <w:pPr>
        <w:rPr>
          <w:sz w:val="20"/>
          <w:szCs w:val="20"/>
        </w:rPr>
      </w:pPr>
    </w:p>
    <w:p w14:paraId="00F86006" w14:textId="4FBD41BC" w:rsidR="003F0617" w:rsidRDefault="00EB654C">
      <w:pPr>
        <w:rPr>
          <w:sz w:val="20"/>
          <w:szCs w:val="20"/>
        </w:rPr>
      </w:pPr>
      <w:r>
        <w:rPr>
          <w:sz w:val="20"/>
          <w:szCs w:val="20"/>
        </w:rPr>
        <w:t xml:space="preserve"> </w:t>
      </w:r>
    </w:p>
    <w:p w14:paraId="1199794E" w14:textId="77777777" w:rsidR="001161F5" w:rsidRDefault="001161F5">
      <w:pPr>
        <w:rPr>
          <w:sz w:val="20"/>
          <w:szCs w:val="20"/>
        </w:rPr>
      </w:pPr>
    </w:p>
    <w:p w14:paraId="79A88DAC" w14:textId="77777777" w:rsidR="00A2167C" w:rsidRDefault="00A2167C">
      <w:pPr>
        <w:rPr>
          <w:sz w:val="20"/>
          <w:szCs w:val="20"/>
        </w:rPr>
      </w:pPr>
    </w:p>
    <w:p w14:paraId="61F6F5EC" w14:textId="48066DF2" w:rsidR="00A2167C" w:rsidRDefault="00A2167C" w:rsidP="00A2167C">
      <w:pPr>
        <w:pStyle w:val="Heading2"/>
      </w:pPr>
      <w:r>
        <w:t>Literature</w:t>
      </w:r>
    </w:p>
    <w:p w14:paraId="646F404F" w14:textId="50E0EC89" w:rsidR="00A2167C" w:rsidRDefault="00A2167C">
      <w:pPr>
        <w:rPr>
          <w:sz w:val="20"/>
          <w:szCs w:val="20"/>
        </w:rPr>
      </w:pPr>
      <w:hyperlink r:id="rId4" w:history="1">
        <w:r w:rsidRPr="00A2167C">
          <w:rPr>
            <w:rStyle w:val="Hyperlink"/>
            <w:sz w:val="20"/>
            <w:szCs w:val="20"/>
          </w:rPr>
          <w:t>Understanding Long Short-Term Memory Recurrent Neural Networks – a tutorial-like introduction, Ralf C. Staudemeyer, Eric R. Morris, 2019</w:t>
        </w:r>
      </w:hyperlink>
    </w:p>
    <w:p w14:paraId="140AB54F" w14:textId="77777777" w:rsidR="00A2167C" w:rsidRDefault="00A2167C">
      <w:pPr>
        <w:rPr>
          <w:sz w:val="20"/>
          <w:szCs w:val="20"/>
        </w:rPr>
      </w:pPr>
    </w:p>
    <w:p w14:paraId="15D7B38F" w14:textId="77777777" w:rsidR="00A2167C" w:rsidRPr="002A2A81" w:rsidRDefault="00A2167C">
      <w:pPr>
        <w:rPr>
          <w:sz w:val="20"/>
          <w:szCs w:val="20"/>
        </w:rPr>
      </w:pPr>
    </w:p>
    <w:sectPr w:rsidR="00A2167C" w:rsidRPr="002A2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81"/>
    <w:rsid w:val="00042DC8"/>
    <w:rsid w:val="000561C4"/>
    <w:rsid w:val="000638FA"/>
    <w:rsid w:val="000C6160"/>
    <w:rsid w:val="001161F5"/>
    <w:rsid w:val="002A2A81"/>
    <w:rsid w:val="003308DB"/>
    <w:rsid w:val="00351943"/>
    <w:rsid w:val="003F0617"/>
    <w:rsid w:val="00483473"/>
    <w:rsid w:val="004A0823"/>
    <w:rsid w:val="007D7DE8"/>
    <w:rsid w:val="00A07089"/>
    <w:rsid w:val="00A2167C"/>
    <w:rsid w:val="00AD7599"/>
    <w:rsid w:val="00B81F6C"/>
    <w:rsid w:val="00CE552C"/>
    <w:rsid w:val="00EB654C"/>
    <w:rsid w:val="00EF6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A4A936"/>
  <w15:chartTrackingRefBased/>
  <w15:docId w15:val="{3BA1CB10-8DFC-8642-A37A-9420151E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8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7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6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8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7B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F67B8"/>
    <w:rPr>
      <w:color w:val="808080"/>
    </w:rPr>
  </w:style>
  <w:style w:type="character" w:styleId="Hyperlink">
    <w:name w:val="Hyperlink"/>
    <w:basedOn w:val="DefaultParagraphFont"/>
    <w:uiPriority w:val="99"/>
    <w:unhideWhenUsed/>
    <w:rsid w:val="00A2167C"/>
    <w:rPr>
      <w:color w:val="0563C1" w:themeColor="hyperlink"/>
      <w:u w:val="single"/>
    </w:rPr>
  </w:style>
  <w:style w:type="character" w:styleId="UnresolvedMention">
    <w:name w:val="Unresolved Mention"/>
    <w:basedOn w:val="DefaultParagraphFont"/>
    <w:uiPriority w:val="99"/>
    <w:semiHidden/>
    <w:unhideWhenUsed/>
    <w:rsid w:val="00A2167C"/>
    <w:rPr>
      <w:color w:val="605E5C"/>
      <w:shd w:val="clear" w:color="auto" w:fill="E1DFDD"/>
    </w:rPr>
  </w:style>
  <w:style w:type="character" w:customStyle="1" w:styleId="Heading3Char">
    <w:name w:val="Heading 3 Char"/>
    <w:basedOn w:val="DefaultParagraphFont"/>
    <w:link w:val="Heading3"/>
    <w:uiPriority w:val="9"/>
    <w:rsid w:val="003F061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imitarpg13/transformers_intro/blob/main/articles_and_books/TutorialOnLongShortTermMemory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cp:revision>
  <dcterms:created xsi:type="dcterms:W3CDTF">2024-02-20T06:13:00Z</dcterms:created>
  <dcterms:modified xsi:type="dcterms:W3CDTF">2024-02-21T17:06:00Z</dcterms:modified>
</cp:coreProperties>
</file>