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Moduł 1 Katalog Produktów</w:t>
      </w:r>
    </w:p>
    <w:p>
      <w:r>
        <w:t>Product Catalog dla platformy e commerce z artykułami sportowymi</w:t>
      </w:r>
    </w:p>
    <w:p>
      <w:r>
        <w:t>Wersja dokumentu: 1.0 | Data: 2026-10-10</w:t>
      </w:r>
    </w:p>
    <w:p>
      <w:pPr>
        <w:pStyle w:val="Heading1"/>
      </w:pPr>
      <w:r>
        <w:t>1 Cel i zakres</w:t>
      </w:r>
    </w:p>
    <w:p>
      <w:r>
        <w:t>Moduł udostępnia katalog artykułów sportowych oraz szczegółowe informacje potrzebne do oceny produktu. Obejmuje kategorie i podkategorie, marki i producentów, zdjęcia, opisy, parametry techniczne oraz informację o dostępności. Dokument określa wymagane zachowanie i kryteria odbioru modułu, a nie potwierdza zakończenia jego implementacji.</w:t>
      </w:r>
    </w:p>
    <w:p>
      <w:r>
        <w:t>Zakres zgodny ze specyfikacją utworu</w:t>
      </w:r>
    </w:p>
    <w:p>
      <w:pPr>
        <w:pStyle w:val="ListBullet"/>
      </w:pPr>
      <w:r>
        <w:t>Wyświetlanie katalogu artykułów sportowych.</w:t>
      </w:r>
    </w:p>
    <w:p>
      <w:pPr>
        <w:pStyle w:val="ListBullet"/>
      </w:pPr>
      <w:r>
        <w:t>Obsługa kategorii i podkategorii produktów.</w:t>
      </w:r>
    </w:p>
    <w:p>
      <w:pPr>
        <w:pStyle w:val="ListBullet"/>
      </w:pPr>
      <w:r>
        <w:t>Zarządzanie markami i producentami.</w:t>
      </w:r>
    </w:p>
    <w:p>
      <w:pPr>
        <w:pStyle w:val="ListBullet"/>
      </w:pPr>
      <w:r>
        <w:t>Wyświetlanie szczegółowych informacji o produkcie.</w:t>
      </w:r>
    </w:p>
    <w:p>
      <w:pPr>
        <w:pStyle w:val="ListBullet"/>
      </w:pPr>
      <w:r>
        <w:t>Obsługa zdjęć, opisów i parametrów technicznych.</w:t>
      </w:r>
    </w:p>
    <w:p>
      <w:pPr>
        <w:pStyle w:val="ListBullet"/>
      </w:pPr>
      <w:r>
        <w:t>Określanie dostępności produktów.</w:t>
      </w:r>
    </w:p>
    <w:p>
      <w:r>
        <w:t>Granice odpowiedzialności</w:t>
      </w:r>
    </w:p>
    <w:p>
      <w:r>
        <w:t>Warianty należą do modułu 2, rozbudowane wyszukiwanie i filtrowanie do modułu 3, koszyk do modułu 4, a gospodarka magazynowa do modułu 10. Panel administracyjny i REST API są realizowane w module 12. Istniejące funkcje pozostałych modułów pozostają zachowane. Katalog odczytuje ich dane w zakresie wymaganym do prezentacji produktu.</w:t>
      </w:r>
    </w:p>
    <w:p>
      <w:pPr>
        <w:pStyle w:val="Heading1"/>
      </w:pPr>
      <w:r>
        <w:t>2 Sposób udostępniania</w:t>
      </w:r>
    </w:p>
    <w:p>
      <w:r>
        <w:t>Pierwszy etap dotyczy korzeniowej aplikacji Laravel z interfejsem React i Inertia. Katalog jest dostępny bez logowania. Interfejs katalogu używa języka polskiego i prezentuje ceny w PLN. Dokument nie wprowadza odrębnego publicznego REST API ani panelu administracyjnego na tym etapie.</w:t>
      </w:r>
    </w:p>
    <w:p>
      <w:r>
        <w:br w:type="page"/>
      </w:r>
    </w:p>
    <w:p>
      <w:pPr>
        <w:pStyle w:val="Heading1"/>
      </w:pPr>
      <w:r>
        <w:t>3 Katalog i struktura kategorii</w:t>
      </w:r>
    </w:p>
    <w:p>
      <w:r>
        <w:t>Lista prezentuje wyłącznie aktywne produkty. Karta produktu zawiera zdjęcie główne, nazwę, markę, cenę i czytelny status dostępności. Lista jest stronicowana; pusty wynik ma wyraźny komunikat i możliwość powrotu do pełnego katalogu.</w:t>
      </w:r>
    </w:p>
    <w:p>
      <w:r>
        <w:t>Kategorie tworzą drzewo przez powiązanie z kategorią nadrzędną. Interfejs pokazuje podkategorie i pozwala przejść do każdej z nich. Wybranie kategorii nadrzędnej obejmuje produkty przypisane bezpośrednio do niej i do wszystkich jej potomków. Szczegóły produktu pokazują ścieżkę kategorii.</w:t>
      </w:r>
    </w:p>
    <w:p>
      <w:pPr>
        <w:pStyle w:val="ListBullet"/>
      </w:pPr>
      <w:r>
        <w:t>Kategoria nie może być własnym rodzicem ani tworzyć cyklu w drzewie.</w:t>
      </w:r>
    </w:p>
    <w:p>
      <w:pPr>
        <w:pStyle w:val="ListBullet"/>
      </w:pPr>
      <w:r>
        <w:t>Identyfikator URL kategorii jest unikalny.</w:t>
      </w:r>
    </w:p>
    <w:p>
      <w:pPr>
        <w:pStyle w:val="ListBullet"/>
      </w:pPr>
      <w:r>
        <w:t>Kategorii z przypisanymi produktami nie usuwa się bez uprzedniego przeniesienia produktów.</w:t>
      </w:r>
    </w:p>
    <w:p>
      <w:pPr>
        <w:pStyle w:val="ListBullet"/>
      </w:pPr>
      <w:r>
        <w:t>Przejścia między kategoriami i stronami wyników zachowują obowiązujące parametry widoku.</w:t>
      </w:r>
    </w:p>
    <w:p>
      <w:pPr>
        <w:pStyle w:val="Heading1"/>
      </w:pPr>
      <w:r>
        <w:t>4 Marki i producenci</w:t>
      </w:r>
    </w:p>
    <w:p>
      <w:r>
        <w:t>Marka i producent są oddzielnymi słownikami. Marka opisuje oznaczenie handlowe, a producent podmiot wytwarzający produkt. Produkt może wskazywać po jednej marce i jednym producencie; obie informacje są prezentowane na stronie szczegółów, jeśli zostały uzupełnione.</w:t>
      </w:r>
    </w:p>
    <w:p>
      <w:r>
        <w:t>Warstwa danych umożliwia utworzenie, aktualizację i powiązanie wpisów słownika z produktami. Na etapie modułu 1 dane są utrzymywane przez modele aplikacji i kontrolowane dane inicjalizujące. Interfejs do wykonywania tych operacji zostanie dodany w module 12. To rozdzielenie nie oznacza rezygnacji z wymagania zarządzania markami i producentami.</w:t>
      </w:r>
    </w:p>
    <w:p>
      <w:pPr>
        <w:pStyle w:val="ListBullet"/>
      </w:pPr>
      <w:r>
        <w:t>Nazwy i identyfikatory URL wpisów podlegają walidacji.</w:t>
      </w:r>
    </w:p>
    <w:p>
      <w:pPr>
        <w:pStyle w:val="ListBullet"/>
      </w:pPr>
      <w:r>
        <w:t>Zmiana nazwy wpisu jest widoczna przy wszystkich powiązanych produktach.</w:t>
      </w:r>
    </w:p>
    <w:p>
      <w:pPr>
        <w:pStyle w:val="ListBullet"/>
      </w:pPr>
      <w:r>
        <w:t>Usunięcie używanego wpisu wymaga wcześniejszego odłączenia lub zastąpienia powiązań.</w:t>
      </w:r>
    </w:p>
    <w:p>
      <w:pPr>
        <w:pStyle w:val="ListBullet"/>
      </w:pPr>
      <w:r>
        <w:t>Dotychczasowe tekstowe nazwy marek zostają przeniesione do słownika bez utraty powiązań.</w:t>
      </w:r>
    </w:p>
    <w:p>
      <w:pPr>
        <w:pStyle w:val="Heading1"/>
      </w:pPr>
      <w:r>
        <w:t>5 Szczegóły produktu</w:t>
      </w:r>
    </w:p>
    <w:p>
      <w:r>
        <w:t>Strona szczegółów zawiera nazwę, kategorię i jej ścieżkę, markę, producenta, opis, cenę, zdjęcia, parametry techniczne oraz dostępność. Nieaktywny produkt nie jest dostępny przez bezpośredni adres i nie występuje na publicznych listach. Brak opcjonalnego pola nie powoduje wyświetlania pustej sekcji ani błędu strony.</w:t>
      </w:r>
    </w:p>
    <w:p>
      <w:r>
        <w:br w:type="page"/>
      </w:r>
    </w:p>
    <w:p>
      <w:pPr>
        <w:pStyle w:val="Heading1"/>
      </w:pPr>
      <w:r>
        <w:t>6 Zdjęcia opisy i parametry techniczne</w:t>
      </w:r>
    </w:p>
    <w:p>
      <w:r>
        <w:t>Zdjęcie główne jest używane na liście i otwiera galerię produktu. Dodatkowe zdjęcia są uporządkowane według pozycji, mają miniatury i mogą być wybrane bez opuszczania strony. Gdy brak zdjęć dodatkowych, strona prezentuje samo zdjęcie główne. Brak obrazu lub błąd jego wczytania nie blokuje odczytu informacji o produkcie.</w:t>
      </w:r>
    </w:p>
    <w:p>
      <w:r>
        <w:t>Opis wyjaśnia przeznaczenie i właściwości artykułu. Parametry techniczne są uporządkowaną listą nazw i wartości z opcjonalną jednostką, np. materiał, masa w gramach, pojemność w litrach. Parametry nie zastępują wariantów takich jak rozmiar i kolor. Tekst użytkowy i opisy alternatywne zdjęć pozostają czytelne dla technologii asystujących.</w:t>
      </w:r>
    </w:p>
    <w:p>
      <w:pPr>
        <w:pStyle w:val="Heading1"/>
      </w:pPr>
      <w:r>
        <w:t>7 Dostępność produktu</w:t>
      </w:r>
    </w:p>
    <w:p>
      <w:r>
        <w:t>Aktywność produktu decyduje o publikacji, a dostępność o możliwości zakupu. Aktywny produkt bez zapasu pozostaje widoczny z oznaczeniem „Niedostępny”. Produkt jest „Dostępny”, gdy co najmniej jeden jego wariant ma dodatni stan magazynowy. W aktualnym modelu brak wariantów oznacza brak możliwości zakupu.</w:t>
      </w:r>
    </w:p>
    <w:p>
      <w:pPr>
        <w:pStyle w:val="ListBullet"/>
      </w:pPr>
      <w:r>
        <w:t>Status dostępności jest widoczny na karcie i stronie produktu.</w:t>
      </w:r>
    </w:p>
    <w:p>
      <w:pPr>
        <w:pStyle w:val="ListBullet"/>
      </w:pPr>
      <w:r>
        <w:t>Niedostępnego wariantu nie można użyć do dodania produktu do koszyka.</w:t>
      </w:r>
    </w:p>
    <w:p>
      <w:pPr>
        <w:pStyle w:val="ListBullet"/>
      </w:pPr>
      <w:r>
        <w:t>Domyślnie wybierany jest dostępny wariant, jeśli taki istnieje.</w:t>
      </w:r>
    </w:p>
    <w:p>
      <w:pPr>
        <w:pStyle w:val="ListBullet"/>
      </w:pPr>
      <w:r>
        <w:t>Przycisk zakupu jest wyłączony przy braku dostępnego wariantu.</w:t>
      </w:r>
    </w:p>
    <w:p>
      <w:pPr>
        <w:pStyle w:val="ListBullet"/>
      </w:pPr>
      <w:r>
        <w:t>Szybkie dodawanie nigdy nie używa zastępczego identyfikatora wariantu należącego do innego produktu.</w:t>
      </w:r>
    </w:p>
    <w:p>
      <w:pPr>
        <w:pStyle w:val="ListBullet"/>
      </w:pPr>
      <w:r>
        <w:t>Stan magazynowy jest ponownie weryfikowany przez moduł koszyka lub zamówień; informacja na stronie nie stanowi rezerwacji zapasu.</w:t>
      </w:r>
    </w:p>
    <w:p>
      <w:pPr>
        <w:pStyle w:val="Heading1"/>
      </w:pPr>
      <w:r>
        <w:t>8 Model danych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70"/>
      </w:tblGrid>
      <w:tr>
        <w:trPr>
          <w:tblHeader/>
        </w:trPr>
        <w:tc>
          <w:tcPr>
            <w:tcW w:type="dxa" w:w="2268"/>
            <w:shd w:fill="E7E6E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>Encja</w:t>
            </w:r>
          </w:p>
        </w:tc>
        <w:tc>
          <w:tcPr>
            <w:tcW w:type="dxa" w:w="7370"/>
            <w:shd w:fill="E7E6E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>Dane i odpowiedzialność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Produkt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Nazwa, unikalny slug, opis, kategoria, marka, producent, cena, zdjęcie główne i aktywność.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Kategoria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Nazwa, unikalny slug i opcjonalny rodzic; hierarchia kategorii.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Marka i producent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Dwa odrębne słowniki nazw i unikalnych slugów.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Zdjęcie produktu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Powiązanie z produktem, URL, kolejność i tekst alternatywny.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Parametr techniczny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Powiązanie z produktem, nazwa, wartość, opcjonalna jednostka i kolejność.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Wariant produktu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Istniejące powiązanie z produktem i stan zapasu; źródło dostępności z modułów 2 i 10.</w:t>
            </w:r>
          </w:p>
        </w:tc>
      </w:tr>
    </w:tbl>
    <w:p/>
    <w:p>
      <w:r>
        <w:br w:type="page"/>
      </w:r>
    </w:p>
    <w:p>
      <w:pPr>
        <w:pStyle w:val="Heading1"/>
      </w:pPr>
      <w:r>
        <w:t>9 Interfejsy i integracje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268"/>
        <w:gridCol w:w="5669"/>
      </w:tblGrid>
      <w:tr>
        <w:trPr>
          <w:tblHeader/>
        </w:trPr>
        <w:tc>
          <w:tcPr>
            <w:tcW w:type="dxa" w:w="1701"/>
            <w:shd w:fill="E7E6E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>Widok</w:t>
            </w:r>
          </w:p>
        </w:tc>
        <w:tc>
          <w:tcPr>
            <w:tcW w:type="dxa" w:w="2268"/>
            <w:shd w:fill="E7E6E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>Adres</w:t>
            </w:r>
          </w:p>
        </w:tc>
        <w:tc>
          <w:tcPr>
            <w:tcW w:type="dxa" w:w="5669"/>
            <w:shd w:fill="E7E6E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>Zachowanie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Strona główna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GET /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Wejście do katalogu i kategorii.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Katalog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GET /shop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Stronicowana lista aktywnych produktów; parametr category wybiera kategorię i jej potomków.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Produkt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GET /shop/{slug}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Szczegóły aktywnego produktu; brak produktu lub nieaktywność oznacza 404.</w:t>
            </w:r>
          </w:p>
        </w:tc>
      </w:tr>
    </w:tbl>
    <w:p/>
    <w:p>
      <w:r>
        <w:t>Dane przekazywane do Inertia obejmują hierarchię kategorii, powiązane informacje o marce i producencie, uporządkowane zdjęcia i parametry oraz obliczony status dostępności. Relacje są ładowane zbiorczo, aby liczba zapytań nie rosła osobno dla każdej karty produktu.</w:t>
      </w:r>
    </w:p>
    <w:p>
      <w:r>
        <w:t>Integracja z modułami 2 i 10 dostarcza warianty i zapasy. Moduł 4 otrzymuje rzeczywisty identyfikator wybranego wariantu. Moduł 3 może rozszerzyć istniejące wyszukiwanie i sortowanie; ich obecna obsługa zostaje zachowana. Moduł 12 doda administracyjne zarządzanie i kontrakty REST API. Katalog nie zmienia historycznych danych zamówień.</w:t>
      </w:r>
    </w:p>
    <w:p>
      <w:pPr>
        <w:pStyle w:val="Heading1"/>
      </w:pPr>
      <w:r>
        <w:t>10 Walidacja i obsługa błędów</w:t>
      </w:r>
    </w:p>
    <w:p>
      <w:pPr>
        <w:pStyle w:val="ListBullet"/>
      </w:pPr>
      <w:r>
        <w:t>Powiązania z kategorią, marką, producentem i produktem muszą wskazywać istniejące rekordy.</w:t>
      </w:r>
    </w:p>
    <w:p>
      <w:pPr>
        <w:pStyle w:val="ListBullet"/>
      </w:pPr>
      <w:r>
        <w:t>Nazwy i wartości parametrów nie mogą być pustymi ciągami; kolejność zdjęć i parametrów jest deterministyczna.</w:t>
      </w:r>
    </w:p>
    <w:p>
      <w:pPr>
        <w:pStyle w:val="ListBullet"/>
      </w:pPr>
      <w:r>
        <w:t>Opis i wartości parametrów są prezentowane jako bezpieczny tekst.</w:t>
      </w:r>
    </w:p>
    <w:p>
      <w:pPr>
        <w:pStyle w:val="ListBullet"/>
      </w:pPr>
      <w:r>
        <w:t>Puste listy, brak zdjęcia i brak opcjonalnych danych mają przewidziane stany interfejsu.</w:t>
      </w:r>
    </w:p>
    <w:p>
      <w:pPr>
        <w:pStyle w:val="ListBullet"/>
      </w:pPr>
      <w:r>
        <w:t>Dostępność nie jest obliczana z flagi active ani ze stanu obcego wariantu.</w:t>
      </w:r>
    </w:p>
    <w:p>
      <w:pPr>
        <w:pStyle w:val="Heading1"/>
      </w:pPr>
      <w:r>
        <w:t>11 Migracja i zgodność</w:t>
      </w:r>
    </w:p>
    <w:p>
      <w:r>
        <w:t>Zmiany schematu są wykonywane przez nowe migracje. Istniejące dane produktów i zamówień pozostają zachowane. Przeniesienie marek deduplikuje istniejące nazwy i zapisuje właściwe powiązania. Dane demonstracyjne obejmują podkategorie, producentów, galerie, parametry i produkty o różnych stanach dostępności.</w:t>
      </w:r>
    </w:p>
    <w:p>
      <w:r>
        <w:t>Przejście do cen PLN wymaga jednoznacznego ustalenia sposobu przeliczenia istniejących kwot EUR netto przed zmianą ich znaczenia. Nie wolno jedynie zmienić etykiety waluty. Kurs migracyjny i zasady podatkowe są odrębną decyzją dotyczącą cen oraz modułów transakcyjnych; dokument katalogu nie ustala ich wartości.</w:t>
      </w:r>
    </w:p>
    <w:p>
      <w:r>
        <w:br w:type="page"/>
      </w:r>
    </w:p>
    <w:p>
      <w:pPr>
        <w:pStyle w:val="Heading1"/>
      </w:pPr>
      <w:r>
        <w:t>12 Scenariusze testowe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8787"/>
      </w:tblGrid>
      <w:tr>
        <w:trPr>
          <w:tblHeader/>
        </w:trPr>
        <w:tc>
          <w:tcPr>
            <w:tcW w:type="dxa" w:w="850"/>
            <w:shd w:fill="E7E6E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8787"/>
            <w:shd w:fill="E7E6E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>Scenariusz i oczekiwany wynik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K01</w:t>
            </w:r>
          </w:p>
        </w:tc>
        <w:tc>
          <w:tcPr>
            <w:tcW w:type="dxa" w:w="87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Lista zawiera aktywne produkty, poprawną paginację i komunikat dla pustego wyniku.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K02</w:t>
            </w:r>
          </w:p>
        </w:tc>
        <w:tc>
          <w:tcPr>
            <w:tcW w:type="dxa" w:w="87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Kategoria nadrzędna obejmuje produkty własne, dzieci i dalszych potomków; podkategoria nie obejmuje rodzeństwa.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K03</w:t>
            </w:r>
          </w:p>
        </w:tc>
        <w:tc>
          <w:tcPr>
            <w:tcW w:type="dxa" w:w="87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Nieaktywny produkt jest nieobecny na listach i zwraca 404 pod bezpośrednim adresem.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K04</w:t>
            </w:r>
          </w:p>
        </w:tc>
        <w:tc>
          <w:tcPr>
            <w:tcW w:type="dxa" w:w="87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Marka i producent są pobierane z właściwych słowników; zmiana nazwy aktualizuje prezentację.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K05</w:t>
            </w:r>
          </w:p>
        </w:tc>
        <w:tc>
          <w:tcPr>
            <w:tcW w:type="dxa" w:w="87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Galeria zachowuje kolejność, wybór miniatury zmienia zdjęcie, a pojedyncze zdjęcie działa bez galerii dodatkowej.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K06</w:t>
            </w:r>
          </w:p>
        </w:tc>
        <w:tc>
          <w:tcPr>
            <w:tcW w:type="dxa" w:w="87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Parametry pokazują nazwy, wartości i jednostki; brak parametrów nie pozostawia pustej sekcji.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K07</w:t>
            </w:r>
          </w:p>
        </w:tc>
        <w:tc>
          <w:tcPr>
            <w:tcW w:type="dxa" w:w="87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Dodatni stan dowolnego wariantu oznacza dostępność; wszystkie stany zerowe lub brak wariantów oznaczają niedostępność.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K08</w:t>
            </w:r>
          </w:p>
        </w:tc>
        <w:tc>
          <w:tcPr>
            <w:tcW w:type="dxa" w:w="87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Zakup i szybkie dodawanie nie używają niedostępnego wariantu ani identyfikatora innego produktu.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K09</w:t>
            </w:r>
          </w:p>
        </w:tc>
        <w:tc>
          <w:tcPr>
            <w:tcW w:type="dxa" w:w="87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Cykl kategorii, błędne powiązania i usunięcie używanego wpisu słownika są odrzucane.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K10</w:t>
            </w:r>
          </w:p>
        </w:tc>
        <w:tc>
          <w:tcPr>
            <w:tcW w:type="dxa" w:w="87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Migracja marek zachowuje produkty i powiązania; istniejące testy koszyka, zamówień i kont nie regresują.</w:t>
            </w:r>
          </w:p>
        </w:tc>
      </w:tr>
    </w:tbl>
    <w:p/>
    <w:p>
      <w:pPr>
        <w:pStyle w:val="Heading1"/>
      </w:pPr>
      <w:r>
        <w:t>13 Kryteria odbioru</w:t>
      </w:r>
    </w:p>
    <w:p>
      <w:pPr>
        <w:pStyle w:val="ListBullet"/>
      </w:pPr>
      <w:r>
        <w:t>Wszystkie sześć wymagań modułu 1 ma działające odwzorowanie w danych i prezentacji katalogu.</w:t>
      </w:r>
    </w:p>
    <w:p>
      <w:pPr>
        <w:pStyle w:val="ListBullet"/>
      </w:pPr>
      <w:r>
        <w:t>Hierarchia kategorii jest widoczna, a wybór rodzica obejmuje produkty jego potomków.</w:t>
      </w:r>
    </w:p>
    <w:p>
      <w:pPr>
        <w:pStyle w:val="ListBullet"/>
      </w:pPr>
      <w:r>
        <w:t>Marki i producenci mają odrębne słowniki oraz poprawne powiązania z produktami; panel ich obsługi pozostaje zadaniem modułu 12.</w:t>
      </w:r>
    </w:p>
    <w:p>
      <w:pPr>
        <w:pStyle w:val="ListBullet"/>
      </w:pPr>
      <w:r>
        <w:t>Szczegóły produktu prezentują opis, galerię i uporządkowane parametry techniczne.</w:t>
      </w:r>
    </w:p>
    <w:p>
      <w:pPr>
        <w:pStyle w:val="ListBullet"/>
      </w:pPr>
      <w:r>
        <w:t>Dostępność jest zgodna ze stanami właściwych wariantów, a brak zapasu blokuje akcję zakupu.</w:t>
      </w:r>
    </w:p>
    <w:p>
      <w:pPr>
        <w:pStyle w:val="ListBullet"/>
      </w:pPr>
      <w:r>
        <w:t>Testy backendu i produkcyjny build interfejsu przechodzą; widoki są sprawdzone na telefonie i komputerze.</w:t>
      </w:r>
    </w:p>
    <w:p>
      <w:pPr>
        <w:pStyle w:val="Heading1"/>
      </w:pPr>
      <w:r>
        <w:t>14 Dokumenty odniesienia</w:t>
      </w:r>
    </w:p>
    <w:p>
      <w:r>
        <w:t>Specyfikacja utworu dla platformy e commerce do sprzedaży artykułów sportowych, załącznik nr 1 do Umowy o dzieło: zakres modułu 1 oraz granice integracji z modułami 2–12. Dokument dotyczący raportów i analityki systemu DishOrdering stanowi wzorzec organizacji dokumentacji, a nie źródło wymagań funkcjonalnych katalogu.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Moduł 1 Katalog Produktów</dc:title>
  <dc:subject>Specyfikacja funkcjonalna katalogu artykułów sportowych</dc:subject>
  <dc:creator/>
  <cp:keywords/>
  <dc:description>Dokumentacja techniczna modułu raportów i analityki.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