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BD47" w14:textId="77777777" w:rsidR="00251123"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7EF7BD48" w14:textId="77777777" w:rsidR="00251123"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7EF7BD49" w14:textId="77777777" w:rsidR="00251123"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chart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51123" w14:paraId="7EF7BD4C" w14:textId="77777777">
        <w:trPr>
          <w:trHeight w:val="420"/>
        </w:trPr>
        <w:tc>
          <w:tcPr>
            <w:tcW w:w="2055" w:type="dxa"/>
            <w:tcMar>
              <w:top w:w="100" w:type="dxa"/>
              <w:left w:w="100" w:type="dxa"/>
              <w:bottom w:w="100" w:type="dxa"/>
              <w:right w:w="100" w:type="dxa"/>
            </w:tcMar>
          </w:tcPr>
          <w:p w14:paraId="7EF7BD4A"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t>Summary</w:t>
            </w:r>
          </w:p>
        </w:tc>
        <w:tc>
          <w:tcPr>
            <w:tcW w:w="8025" w:type="dxa"/>
            <w:tcMar>
              <w:top w:w="100" w:type="dxa"/>
              <w:left w:w="100" w:type="dxa"/>
              <w:bottom w:w="100" w:type="dxa"/>
              <w:right w:w="100" w:type="dxa"/>
            </w:tcMar>
          </w:tcPr>
          <w:p w14:paraId="7EF7BD4B" w14:textId="77777777" w:rsidR="00251123" w:rsidRDefault="00000000">
            <w:pPr>
              <w:widowControl w:val="0"/>
              <w:shd w:val="clear" w:color="auto" w:fill="FFFFFF"/>
              <w:spacing w:before="120" w:after="240" w:line="360" w:lineRule="auto"/>
              <w:rPr>
                <w:rFonts w:ascii="Google Sans" w:eastAsia="Google Sans" w:hAnsi="Google Sans" w:cs="Google Sans"/>
              </w:rPr>
            </w:pPr>
            <w:r>
              <w:rPr>
                <w:rFonts w:ascii="Google Sans" w:eastAsia="Google Sans" w:hAnsi="Google Sans" w:cs="Google Sans"/>
                <w:color w:val="0F1114"/>
                <w:sz w:val="24"/>
                <w:szCs w:val="24"/>
              </w:rPr>
              <w:t xml:space="preserve">The company experienced a security event when all network services stopped responding. The cybersecurity team responded by blocking incoming ICMP packets, which was caused by a DDoS attack (distributed denial of service attack). The team stopped all non-critical network </w:t>
            </w:r>
            <w:proofErr w:type="gramStart"/>
            <w:r>
              <w:rPr>
                <w:rFonts w:ascii="Google Sans" w:eastAsia="Google Sans" w:hAnsi="Google Sans" w:cs="Google Sans"/>
                <w:color w:val="0F1114"/>
                <w:sz w:val="24"/>
                <w:szCs w:val="24"/>
              </w:rPr>
              <w:t>services, and</w:t>
            </w:r>
            <w:proofErr w:type="gramEnd"/>
            <w:r>
              <w:rPr>
                <w:rFonts w:ascii="Google Sans" w:eastAsia="Google Sans" w:hAnsi="Google Sans" w:cs="Google Sans"/>
                <w:color w:val="0F1114"/>
                <w:sz w:val="24"/>
                <w:szCs w:val="24"/>
              </w:rPr>
              <w:t xml:space="preserve"> then restored critical network services. </w:t>
            </w:r>
          </w:p>
        </w:tc>
      </w:tr>
      <w:tr w:rsidR="00251123" w14:paraId="7EF7BD4F" w14:textId="77777777">
        <w:trPr>
          <w:trHeight w:val="420"/>
        </w:trPr>
        <w:tc>
          <w:tcPr>
            <w:tcW w:w="2055" w:type="dxa"/>
            <w:tcMar>
              <w:top w:w="100" w:type="dxa"/>
              <w:left w:w="100" w:type="dxa"/>
              <w:bottom w:w="100" w:type="dxa"/>
              <w:right w:w="100" w:type="dxa"/>
            </w:tcMar>
          </w:tcPr>
          <w:p w14:paraId="7EF7BD4D"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7EF7BD4E"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color w:val="0F1114"/>
                <w:sz w:val="24"/>
                <w:szCs w:val="24"/>
                <w:highlight w:val="white"/>
              </w:rPr>
              <w:t>The team found that a malicious actor(s) had sent a flood of ICMP pings into the company’s network through an unconfigured firewall. This vulnerability allowed the malicious attacker to overwhelm the company’s network through a distributed denial of service (DDoS) attack.</w:t>
            </w:r>
          </w:p>
        </w:tc>
      </w:tr>
      <w:tr w:rsidR="00251123" w14:paraId="7EF7BD52" w14:textId="77777777">
        <w:trPr>
          <w:trHeight w:val="420"/>
        </w:trPr>
        <w:tc>
          <w:tcPr>
            <w:tcW w:w="2055" w:type="dxa"/>
            <w:tcMar>
              <w:top w:w="100" w:type="dxa"/>
              <w:left w:w="100" w:type="dxa"/>
              <w:bottom w:w="100" w:type="dxa"/>
              <w:right w:w="100" w:type="dxa"/>
            </w:tcMar>
          </w:tcPr>
          <w:p w14:paraId="7EF7BD50"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7EF7BD51" w14:textId="77777777" w:rsidR="00251123" w:rsidRDefault="00000000">
            <w:pPr>
              <w:widowControl w:val="0"/>
              <w:spacing w:line="360" w:lineRule="auto"/>
              <w:rPr>
                <w:rFonts w:ascii="Google Sans" w:eastAsia="Google Sans" w:hAnsi="Google Sans" w:cs="Google Sans"/>
                <w:color w:val="0F1114"/>
                <w:sz w:val="24"/>
                <w:szCs w:val="24"/>
                <w:highlight w:val="white"/>
              </w:rPr>
            </w:pPr>
            <w:r>
              <w:rPr>
                <w:rFonts w:ascii="Google Sans" w:eastAsia="Google Sans" w:hAnsi="Google Sans" w:cs="Google Sans"/>
                <w:color w:val="0F1114"/>
                <w:sz w:val="24"/>
                <w:szCs w:val="24"/>
                <w:highlight w:val="white"/>
              </w:rPr>
              <w:t>To protect from this security event, the network security team implemented a new firewall rule to limit the rate of incoming ICMP packets and the IDS/IPS system to filter out some ICMP traffic based on suspicious characteristics.</w:t>
            </w:r>
          </w:p>
        </w:tc>
      </w:tr>
      <w:tr w:rsidR="00251123" w14:paraId="7EF7BD55" w14:textId="77777777">
        <w:trPr>
          <w:trHeight w:val="630"/>
        </w:trPr>
        <w:tc>
          <w:tcPr>
            <w:tcW w:w="2055" w:type="dxa"/>
            <w:tcMar>
              <w:top w:w="100" w:type="dxa"/>
              <w:left w:w="100" w:type="dxa"/>
              <w:bottom w:w="100" w:type="dxa"/>
              <w:right w:w="100" w:type="dxa"/>
            </w:tcMar>
          </w:tcPr>
          <w:p w14:paraId="7EF7BD53"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7EF7BD54" w14:textId="77777777" w:rsidR="00251123" w:rsidRDefault="00000000">
            <w:pPr>
              <w:widowControl w:val="0"/>
              <w:shd w:val="clear" w:color="auto" w:fill="FFFFFF"/>
              <w:spacing w:after="240" w:line="360" w:lineRule="auto"/>
              <w:rPr>
                <w:rFonts w:ascii="Google Sans" w:eastAsia="Google Sans" w:hAnsi="Google Sans" w:cs="Google Sans"/>
              </w:rPr>
            </w:pPr>
            <w:r>
              <w:rPr>
                <w:rFonts w:ascii="Google Sans" w:eastAsia="Google Sans" w:hAnsi="Google Sans" w:cs="Google Sans"/>
                <w:color w:val="0F1114"/>
                <w:sz w:val="24"/>
                <w:szCs w:val="24"/>
                <w:highlight w:val="white"/>
              </w:rPr>
              <w:t xml:space="preserve">The cybersecurity team implemented network monitoring software to detect abnormal traffic patterns and configured source IP address verification on the firewall to check for spoofed IP addresses on </w:t>
            </w:r>
            <w:r>
              <w:rPr>
                <w:rFonts w:ascii="Google Sans" w:eastAsia="Google Sans" w:hAnsi="Google Sans" w:cs="Google Sans"/>
                <w:color w:val="0F1114"/>
                <w:sz w:val="24"/>
                <w:szCs w:val="24"/>
                <w:highlight w:val="white"/>
              </w:rPr>
              <w:lastRenderedPageBreak/>
              <w:t>incoming ICMP packets.</w:t>
            </w:r>
          </w:p>
        </w:tc>
      </w:tr>
      <w:tr w:rsidR="00251123" w14:paraId="7EF7BD58" w14:textId="77777777">
        <w:trPr>
          <w:trHeight w:val="420"/>
        </w:trPr>
        <w:tc>
          <w:tcPr>
            <w:tcW w:w="2055" w:type="dxa"/>
            <w:tcMar>
              <w:top w:w="100" w:type="dxa"/>
              <w:left w:w="100" w:type="dxa"/>
              <w:bottom w:w="100" w:type="dxa"/>
              <w:right w:w="100" w:type="dxa"/>
            </w:tcMar>
          </w:tcPr>
          <w:p w14:paraId="7EF7BD56"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tcMar>
              <w:top w:w="100" w:type="dxa"/>
              <w:left w:w="100" w:type="dxa"/>
              <w:bottom w:w="100" w:type="dxa"/>
              <w:right w:w="100" w:type="dxa"/>
            </w:tcMar>
          </w:tcPr>
          <w:p w14:paraId="7EF7BD57" w14:textId="77777777" w:rsidR="00251123" w:rsidRDefault="00000000">
            <w:pPr>
              <w:widowControl w:val="0"/>
              <w:shd w:val="clear" w:color="auto" w:fill="FFFFFF"/>
              <w:spacing w:after="240" w:line="360" w:lineRule="auto"/>
              <w:rPr>
                <w:rFonts w:ascii="Google Sans" w:eastAsia="Google Sans" w:hAnsi="Google Sans" w:cs="Google Sans"/>
              </w:rPr>
            </w:pPr>
            <w:r>
              <w:rPr>
                <w:rFonts w:ascii="Google Sans" w:eastAsia="Google Sans" w:hAnsi="Google Sans" w:cs="Google Sans"/>
              </w:rPr>
              <w:t>In response to future security incidents, the cybersecurity team will quarantine compromised systems to contain the threat and minimize impact on the broader network. Their priority will be to recover essential systems and services affected by the breach. Following containment and recovery, they will review network logs to identify any unusual or suspicious behavior. All incidents will be documented and communicated to senior leadership, and if necessary, reported to legal authorities.</w:t>
            </w:r>
          </w:p>
        </w:tc>
      </w:tr>
      <w:tr w:rsidR="00251123" w14:paraId="7EF7BD5B" w14:textId="77777777">
        <w:trPr>
          <w:trHeight w:val="420"/>
        </w:trPr>
        <w:tc>
          <w:tcPr>
            <w:tcW w:w="2055" w:type="dxa"/>
            <w:tcMar>
              <w:top w:w="100" w:type="dxa"/>
              <w:left w:w="100" w:type="dxa"/>
              <w:bottom w:w="100" w:type="dxa"/>
              <w:right w:w="100" w:type="dxa"/>
            </w:tcMar>
          </w:tcPr>
          <w:p w14:paraId="7EF7BD59"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7EF7BD5A" w14:textId="77777777" w:rsidR="00251123" w:rsidRDefault="00000000">
            <w:pPr>
              <w:widowControl w:val="0"/>
              <w:spacing w:line="360" w:lineRule="auto"/>
              <w:rPr>
                <w:rFonts w:ascii="Google Sans" w:eastAsia="Google Sans" w:hAnsi="Google Sans" w:cs="Google Sans"/>
              </w:rPr>
            </w:pPr>
            <w:r>
              <w:rPr>
                <w:rFonts w:ascii="Google Sans" w:eastAsia="Google Sans" w:hAnsi="Google Sans" w:cs="Google Sans"/>
              </w:rPr>
              <w:t>To recover from an ICMP flood-based DDoS attack, network services must be returned to normal operational status. Moving forward, such external ICMP flood attempts can be mitigated by configuring firewall rules to block them. Initially, non-essential network services should be shut down to reduce internal traffic load. Priority should then be given to restoring critical services. Once the excessive ICMP traffic subsides, remaining non-critical systems and services can be safely reactivated.</w:t>
            </w:r>
          </w:p>
        </w:tc>
      </w:tr>
    </w:tbl>
    <w:p w14:paraId="7EF7BD5C" w14:textId="77777777" w:rsidR="00251123" w:rsidRDefault="00251123">
      <w:pPr>
        <w:spacing w:after="200" w:line="360" w:lineRule="auto"/>
        <w:ind w:left="-360" w:right="-360"/>
        <w:rPr>
          <w:rFonts w:ascii="Google Sans" w:eastAsia="Google Sans" w:hAnsi="Google Sans" w:cs="Google Sans"/>
        </w:rPr>
      </w:pPr>
    </w:p>
    <w:p w14:paraId="7EF7BD5D" w14:textId="77777777" w:rsidR="00251123" w:rsidRDefault="00000000">
      <w:pPr>
        <w:spacing w:after="200" w:line="360" w:lineRule="auto"/>
        <w:ind w:left="-360" w:right="-360"/>
        <w:rPr>
          <w:rFonts w:ascii="Google Sans" w:eastAsia="Google Sans" w:hAnsi="Google Sans" w:cs="Google Sans"/>
        </w:rPr>
      </w:pPr>
      <w:r>
        <w:pict w14:anchorId="7EF7BD62">
          <v:rect id="_x0000_i1025" style="width:0;height:1.5pt" o:hralign="center" o:hrstd="t" o:hr="t" fillcolor="#a0a0a0" stroked="f"/>
        </w:pict>
      </w:r>
    </w:p>
    <w:p w14:paraId="7EF7BD5E" w14:textId="77777777" w:rsidR="00251123" w:rsidRDefault="00251123">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251123" w14:paraId="7EF7BD60" w14:textId="77777777">
        <w:tc>
          <w:tcPr>
            <w:tcW w:w="10080" w:type="dxa"/>
            <w:tcMar>
              <w:top w:w="100" w:type="dxa"/>
              <w:left w:w="100" w:type="dxa"/>
              <w:bottom w:w="100" w:type="dxa"/>
              <w:right w:w="100" w:type="dxa"/>
            </w:tcMar>
          </w:tcPr>
          <w:p w14:paraId="7EF7BD5F" w14:textId="77777777" w:rsidR="00251123"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7EF7BD61" w14:textId="77777777" w:rsidR="00251123" w:rsidRDefault="00251123">
      <w:pPr>
        <w:spacing w:line="360" w:lineRule="auto"/>
        <w:ind w:left="-360" w:right="-360"/>
        <w:rPr>
          <w:rFonts w:ascii="Google Sans" w:eastAsia="Google Sans" w:hAnsi="Google Sans" w:cs="Google Sans"/>
        </w:rPr>
      </w:pPr>
    </w:p>
    <w:sectPr w:rsidR="00251123">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90AFD" w14:textId="77777777" w:rsidR="009866F3" w:rsidRDefault="009866F3">
      <w:pPr>
        <w:spacing w:line="240" w:lineRule="auto"/>
      </w:pPr>
      <w:r>
        <w:separator/>
      </w:r>
    </w:p>
  </w:endnote>
  <w:endnote w:type="continuationSeparator" w:id="0">
    <w:p w14:paraId="67F8C3B5" w14:textId="77777777" w:rsidR="009866F3" w:rsidRDefault="00986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8F13F4E-BF84-4A9B-8F38-BC10C10B9670}"/>
    <w:embedBold r:id="rId2" w:fontKey="{858A815E-3860-4A64-B78E-0F3472D94134}"/>
  </w:font>
  <w:font w:name="Calibri">
    <w:panose1 w:val="020F0502020204030204"/>
    <w:charset w:val="00"/>
    <w:family w:val="swiss"/>
    <w:pitch w:val="variable"/>
    <w:sig w:usb0="E4002EFF" w:usb1="C200247B" w:usb2="00000009" w:usb3="00000000" w:csb0="000001FF" w:csb1="00000000"/>
    <w:embedRegular r:id="rId3" w:fontKey="{0F99A3E0-A839-404B-91FC-452FE680A5CF}"/>
  </w:font>
  <w:font w:name="Cambria">
    <w:panose1 w:val="02040503050406030204"/>
    <w:charset w:val="00"/>
    <w:family w:val="roman"/>
    <w:pitch w:val="variable"/>
    <w:sig w:usb0="E00006FF" w:usb1="420024FF" w:usb2="02000000" w:usb3="00000000" w:csb0="0000019F" w:csb1="00000000"/>
    <w:embedRegular r:id="rId4" w:fontKey="{05D4AD6A-226A-4CF0-9B2D-E36475A98C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D65" w14:textId="77777777" w:rsidR="00251123" w:rsidRDefault="002511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490A" w14:textId="77777777" w:rsidR="009866F3" w:rsidRDefault="009866F3">
      <w:pPr>
        <w:spacing w:line="240" w:lineRule="auto"/>
      </w:pPr>
      <w:r>
        <w:separator/>
      </w:r>
    </w:p>
  </w:footnote>
  <w:footnote w:type="continuationSeparator" w:id="0">
    <w:p w14:paraId="058D65D9" w14:textId="77777777" w:rsidR="009866F3" w:rsidRDefault="009866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D63" w14:textId="77777777" w:rsidR="00251123" w:rsidRDefault="002511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D64" w14:textId="77777777" w:rsidR="00251123" w:rsidRDefault="00000000">
    <w:r>
      <w:rPr>
        <w:noProof/>
      </w:rPr>
      <w:drawing>
        <wp:inline distT="114300" distB="114300" distL="114300" distR="114300" wp14:anchorId="7EF7BD66" wp14:editId="7EF7BD67">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123"/>
    <w:rsid w:val="00251123"/>
    <w:rsid w:val="00562D69"/>
    <w:rsid w:val="008913BD"/>
    <w:rsid w:val="00986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BD47"/>
  <w15:docId w15:val="{C14502EF-BF2A-47D8-8856-B5C2FA8E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361</Words>
  <Characters>2086</Characters>
  <Application>Microsoft Office Word</Application>
  <DocSecurity>0</DocSecurity>
  <Lines>47</Lines>
  <Paragraphs>16</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Дмитрий Чёрный</cp:lastModifiedBy>
  <cp:revision>2</cp:revision>
  <dcterms:created xsi:type="dcterms:W3CDTF">2026-01-25T17:17:00Z</dcterms:created>
  <dcterms:modified xsi:type="dcterms:W3CDTF">2026-01-25T17:18:00Z</dcterms:modified>
</cp:coreProperties>
</file>