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697D" w:rsidRDefault="0004697D" w:rsidP="0004697D">
      <w:pPr>
        <w:pStyle w:val="Heading11"/>
      </w:pPr>
      <w:r>
        <w:t>1. Introduction</w:t>
      </w:r>
    </w:p>
    <w:p w:rsidR="0004697D" w:rsidRDefault="0004697D" w:rsidP="0004697D">
      <w:pPr>
        <w:pStyle w:val="Heading21"/>
      </w:pPr>
      <w:r>
        <w:t>1.1 SAIFA project context</w:t>
      </w:r>
    </w:p>
    <w:p w:rsidR="0004697D" w:rsidRDefault="0004697D" w:rsidP="0004697D">
      <w:pPr>
        <w:jc w:val="both"/>
      </w:pPr>
      <w:r>
        <w:t>SAIFA (Serbian AI Factory Antenna) is funded under HORIZON-JU-</w:t>
      </w:r>
      <w:proofErr w:type="spellStart"/>
      <w:r>
        <w:t>EuroHPC</w:t>
      </w:r>
      <w:proofErr w:type="spellEnd"/>
      <w:r>
        <w:t xml:space="preserve"> (Grant Agreement No. 101263280; call HORIZON-JU-EuroHPC-2025-AIFA-01; Type of Action HORIZON-JU-RIA). The project is coordinated by the School of Electrical Engineering, University of Belgrade (ETF) and runs for 36 months, from 1 May 2026 to 30 April 2029.</w:t>
      </w:r>
    </w:p>
    <w:p w:rsidR="0004697D" w:rsidRDefault="0004697D" w:rsidP="0004697D">
      <w:pPr>
        <w:jc w:val="both"/>
      </w:pPr>
      <w:r>
        <w:t xml:space="preserve">SAIFA establishes a national AI Factory Antenna that connects users in academia, research and clinical institutions, industry, public administration and other user communities with national and European AI resources. National computing is provided primarily through the PARADOX HPC cluster operated by IPB and the AI computing infrastructure operated by ITE, with links to </w:t>
      </w:r>
      <w:proofErr w:type="spellStart"/>
      <w:r>
        <w:t>Pharos</w:t>
      </w:r>
      <w:proofErr w:type="spellEnd"/>
      <w:r>
        <w:t xml:space="preserve">, IT4LIA and other </w:t>
      </w:r>
      <w:proofErr w:type="spellStart"/>
      <w:r>
        <w:t>EuroHPC</w:t>
      </w:r>
      <w:proofErr w:type="spellEnd"/>
      <w:r>
        <w:t xml:space="preserve"> services.</w:t>
      </w:r>
    </w:p>
    <w:p w:rsidR="0004697D" w:rsidRDefault="0004697D" w:rsidP="0004697D">
      <w:pPr>
        <w:jc w:val="both"/>
      </w:pPr>
      <w:r>
        <w:t>Within this environment, the AI Gateway is the user-facing integration layer developed in Work Package 3, Task 3.4. It provides a coherent point of access to computing environments, data, models, tools, workflows, training and support while the specialised services remain operated by their respective platforms and work packages.</w:t>
      </w:r>
    </w:p>
    <w:p w:rsidR="0004697D" w:rsidRDefault="0004697D" w:rsidP="0004697D">
      <w:pPr>
        <w:pStyle w:val="Heading21"/>
      </w:pPr>
      <w:r>
        <w:t>1.2 Purpose and scope of the deliverable</w:t>
      </w:r>
    </w:p>
    <w:p w:rsidR="0004697D" w:rsidRDefault="0004697D" w:rsidP="0004697D">
      <w:pPr>
        <w:jc w:val="both"/>
      </w:pPr>
      <w:r>
        <w:t>Deliverable D3.1, Design of the AI gateway, provides the initial comprehensive plan for the development of the component. It consolidates the Gateway role, representative domain and system use cases, candidate technologies, implementation stages, testing approach and risk controls. It also identifies where further validation, proofs of concept and architectural decisions are required.</w:t>
      </w:r>
    </w:p>
    <w:p w:rsidR="0004697D" w:rsidRDefault="0004697D" w:rsidP="0004697D">
      <w:pPr>
        <w:jc w:val="both"/>
      </w:pPr>
      <w:r>
        <w:t>The document is a design baseline, not a final low-level specification. It does not fix the production stack, detailed API contracts, deployment manifests, operating procedures or the complete beta backlog. These are refined during Task 3.4 on the basis of validated needs, infrastructure constraints, security and compliance review, and implementation evidence.</w:t>
      </w:r>
    </w:p>
    <w:p w:rsidR="0004697D" w:rsidRDefault="0004697D" w:rsidP="0004697D">
      <w:pPr>
        <w:pStyle w:val="Heading21"/>
      </w:pPr>
      <w:r>
        <w:t>1.3 Relationship with other work packages and tasks</w:t>
      </w:r>
    </w:p>
    <w:p w:rsidR="0004697D" w:rsidRDefault="0004697D" w:rsidP="0004697D">
      <w:pPr>
        <w:pStyle w:val="ListParagraph"/>
      </w:pPr>
      <w:r>
        <w:rPr>
          <w:b/>
        </w:rPr>
        <w:t xml:space="preserve">• </w:t>
      </w:r>
      <w:r>
        <w:t>WP1 provides project governance, quality assurance, risk management, legal and ethical oversight, and the Data Management Plan.</w:t>
      </w:r>
    </w:p>
    <w:p w:rsidR="0004697D" w:rsidRDefault="0004697D" w:rsidP="0004697D">
      <w:pPr>
        <w:pStyle w:val="ListParagraph"/>
      </w:pPr>
      <w:r>
        <w:rPr>
          <w:b/>
        </w:rPr>
        <w:t xml:space="preserve">• </w:t>
      </w:r>
      <w:r>
        <w:t>WP2 identifies stakeholder needs, develops business and sustainability models, and coordinates liaison with national initiatives, AI Factories and AI Factory Antennas.</w:t>
      </w:r>
    </w:p>
    <w:p w:rsidR="0004697D" w:rsidRDefault="0004697D" w:rsidP="0004697D">
      <w:pPr>
        <w:pStyle w:val="ListParagraph"/>
      </w:pPr>
      <w:r>
        <w:rPr>
          <w:b/>
        </w:rPr>
        <w:t xml:space="preserve">• </w:t>
      </w:r>
      <w:r>
        <w:t>T3.1 defines access and use policies; T3.2 provides national infrastructure resources; T3.3 develops and enables computing environments; T3.4 designs, implements and deploys the AI Gateway; and T3.5 addresses technical interoperability with AI Factories and antennas.</w:t>
      </w:r>
    </w:p>
    <w:p w:rsidR="0004697D" w:rsidRDefault="0004697D" w:rsidP="0004697D">
      <w:pPr>
        <w:pStyle w:val="ListParagraph"/>
      </w:pPr>
      <w:r>
        <w:rPr>
          <w:b/>
        </w:rPr>
        <w:t xml:space="preserve">• </w:t>
      </w:r>
      <w:r>
        <w:t>WP4 develops and validates sector-specific AI applications in language and culture, energy and manufacturing, health, and environment. These applications supply domain requirements, workflows, datasets and models to be exposed through the Gateway.</w:t>
      </w:r>
    </w:p>
    <w:p w:rsidR="0004697D" w:rsidRDefault="0004697D" w:rsidP="0004697D">
      <w:pPr>
        <w:pStyle w:val="ListParagraph"/>
      </w:pPr>
      <w:r>
        <w:rPr>
          <w:b/>
        </w:rPr>
        <w:t xml:space="preserve">• </w:t>
      </w:r>
      <w:r>
        <w:t>WP5 develops user-support procedures and training programmes and provides support and training services that the Gateway makes accessible to users.</w:t>
      </w:r>
    </w:p>
    <w:p w:rsidR="0004697D" w:rsidRDefault="0004697D" w:rsidP="0004697D">
      <w:pPr>
        <w:pStyle w:val="ListParagraph"/>
      </w:pPr>
      <w:r>
        <w:rPr>
          <w:b/>
        </w:rPr>
        <w:t xml:space="preserve">• </w:t>
      </w:r>
      <w:r>
        <w:t>WP6 provides communication and dissemination channels for project results and services.</w:t>
      </w:r>
    </w:p>
    <w:p w:rsidR="0004697D" w:rsidRDefault="0004697D" w:rsidP="0004697D">
      <w:pPr>
        <w:pStyle w:val="Heading21"/>
      </w:pPr>
      <w:r>
        <w:t>1.4 AI Gateway goals and design principles</w:t>
      </w:r>
    </w:p>
    <w:p w:rsidR="0004697D" w:rsidRDefault="0004697D" w:rsidP="0004697D">
      <w:pPr>
        <w:jc w:val="both"/>
      </w:pPr>
      <w:r>
        <w:t>The Task 3.4 description leads to six practical goals for the Gateway:</w:t>
      </w:r>
    </w:p>
    <w:tbl>
      <w:tblPr>
        <w:tblW w:w="9638" w:type="dxa"/>
        <w:jc w:val="center"/>
        <w:tblLayout w:type="fixed"/>
        <w:tblCellMar>
          <w:top w:w="95" w:type="dxa"/>
          <w:left w:w="95" w:type="dxa"/>
          <w:bottom w:w="95" w:type="dxa"/>
          <w:right w:w="95" w:type="dxa"/>
        </w:tblCellMar>
        <w:tblLook w:val="04A0"/>
      </w:tblPr>
      <w:tblGrid>
        <w:gridCol w:w="4820"/>
        <w:gridCol w:w="4818"/>
      </w:tblGrid>
      <w:tr w:rsidR="0004697D" w:rsidTr="00263269">
        <w:trPr>
          <w:cantSplit/>
          <w:tblHeader/>
          <w:jc w:val="center"/>
        </w:trPr>
        <w:tc>
          <w:tcPr>
            <w:tcW w:w="4819"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04697D" w:rsidRDefault="0004697D" w:rsidP="00263269">
            <w:pPr>
              <w:spacing w:after="0" w:line="240" w:lineRule="auto"/>
              <w:jc w:val="center"/>
            </w:pPr>
            <w:r>
              <w:rPr>
                <w:b/>
                <w:color w:val="1F4E79"/>
                <w:sz w:val="20"/>
              </w:rPr>
              <w:t>Goal</w:t>
            </w:r>
          </w:p>
        </w:tc>
        <w:tc>
          <w:tcPr>
            <w:tcW w:w="481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04697D" w:rsidRDefault="0004697D" w:rsidP="00263269">
            <w:pPr>
              <w:spacing w:after="0" w:line="240" w:lineRule="auto"/>
              <w:jc w:val="center"/>
            </w:pPr>
            <w:r>
              <w:rPr>
                <w:b/>
                <w:color w:val="1F4E79"/>
                <w:sz w:val="20"/>
              </w:rPr>
              <w:t>Meaning for the design</w:t>
            </w:r>
          </w:p>
        </w:tc>
      </w:tr>
      <w:tr w:rsidR="0004697D"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jc w:val="center"/>
            </w:pPr>
            <w:r>
              <w:rPr>
                <w:sz w:val="20"/>
              </w:rPr>
              <w:t>Single entry point</w:t>
            </w:r>
          </w:p>
        </w:tc>
        <w:tc>
          <w:tcPr>
            <w:tcW w:w="4818"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t>Provide one coherent route to AI resources, tools, services, training and support.</w:t>
            </w:r>
          </w:p>
        </w:tc>
      </w:tr>
      <w:tr w:rsidR="0004697D"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jc w:val="center"/>
            </w:pPr>
            <w:r>
              <w:rPr>
                <w:sz w:val="20"/>
              </w:rPr>
              <w:t>User-centred access</w:t>
            </w:r>
          </w:p>
        </w:tc>
        <w:tc>
          <w:tcPr>
            <w:tcW w:w="4818"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t>Support users ranging from beginners to advanced AI developers through role-appropriate paths.</w:t>
            </w:r>
          </w:p>
        </w:tc>
      </w:tr>
      <w:tr w:rsidR="0004697D"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lastRenderedPageBreak/>
              <w:t>Experimentation and deployment</w:t>
            </w:r>
          </w:p>
        </w:tc>
        <w:tc>
          <w:tcPr>
            <w:tcW w:w="4818"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t>Connect data, models, workflows and computing environments across the AI lifecycle.</w:t>
            </w:r>
          </w:p>
        </w:tc>
      </w:tr>
      <w:tr w:rsidR="0004697D"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t>Secure and efficient operation</w:t>
            </w:r>
          </w:p>
        </w:tc>
        <w:tc>
          <w:tcPr>
            <w:tcW w:w="4818"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t>Integrate authentication, authorisation, resource scheduling, monitoring and accountability.</w:t>
            </w:r>
          </w:p>
        </w:tc>
      </w:tr>
      <w:tr w:rsidR="0004697D"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t>Reuse and modularity</w:t>
            </w:r>
          </w:p>
        </w:tc>
        <w:tc>
          <w:tcPr>
            <w:tcW w:w="4818"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t>Integrate mature platforms and develop custom software only for SAIFA-specific coordination and governance.</w:t>
            </w:r>
          </w:p>
        </w:tc>
      </w:tr>
      <w:tr w:rsidR="0004697D"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t>Interoperability</w:t>
            </w:r>
          </w:p>
        </w:tc>
        <w:tc>
          <w:tcPr>
            <w:tcW w:w="4818" w:type="dxa"/>
            <w:tcBorders>
              <w:top w:val="single" w:sz="4" w:space="0" w:color="A6A6A6"/>
              <w:left w:val="single" w:sz="4" w:space="0" w:color="A6A6A6"/>
              <w:bottom w:val="single" w:sz="4" w:space="0" w:color="A6A6A6"/>
              <w:right w:val="single" w:sz="4" w:space="0" w:color="A6A6A6"/>
            </w:tcBorders>
            <w:vAlign w:val="center"/>
          </w:tcPr>
          <w:p w:rsidR="0004697D" w:rsidRDefault="0004697D" w:rsidP="00263269">
            <w:pPr>
              <w:spacing w:after="0" w:line="240" w:lineRule="auto"/>
            </w:pPr>
            <w:r>
              <w:rPr>
                <w:sz w:val="20"/>
              </w:rPr>
              <w:t xml:space="preserve">Connect national resources with </w:t>
            </w:r>
            <w:r>
              <w:t xml:space="preserve">PARADOX, ITE, </w:t>
            </w:r>
            <w:proofErr w:type="spellStart"/>
            <w:r>
              <w:rPr>
                <w:sz w:val="20"/>
              </w:rPr>
              <w:t>Pharos</w:t>
            </w:r>
            <w:proofErr w:type="spellEnd"/>
            <w:r>
              <w:rPr>
                <w:sz w:val="20"/>
              </w:rPr>
              <w:t>, IT4LIA, the AI-on-Demand Platform and other European AI Factory services.</w:t>
            </w:r>
          </w:p>
        </w:tc>
      </w:tr>
    </w:tbl>
    <w:p w:rsidR="0004697D" w:rsidRDefault="0004697D" w:rsidP="0004697D">
      <w:pPr>
        <w:pStyle w:val="Heading21"/>
      </w:pPr>
      <w:r>
        <w:t>1.5 Scope boundaries</w:t>
      </w:r>
    </w:p>
    <w:p w:rsidR="0004697D" w:rsidRDefault="0004697D" w:rsidP="0004697D">
      <w:pPr>
        <w:jc w:val="both"/>
      </w:pPr>
      <w:r>
        <w:t>The AI Gateway is an integration and control layer. It does not replace the identity providers, schedulers, computing clusters, object stores, model-serving engines, learning-management systems, repositories or domain applications that it connects. Domain-specific scientific and industrial methods remain the responsibility of WP4 and the relevant service teams; user-support and training content remain coordinated through WP5.</w:t>
      </w:r>
    </w:p>
    <w:p w:rsidR="0004697D" w:rsidRDefault="0004697D" w:rsidP="0004697D">
      <w:pPr>
        <w:jc w:val="both"/>
      </w:pPr>
      <w:r>
        <w:t>Functions and products named in this deliverable are candidates unless explicitly identified as contractual milestones or existing infrastructure. Inclusion in the target design does not automatically place a function in the M12 beta version.</w:t>
      </w:r>
    </w:p>
    <w:p w:rsidR="0004697D" w:rsidRDefault="0004697D" w:rsidP="0004697D">
      <w:pPr>
        <w:pStyle w:val="Heading21"/>
      </w:pPr>
      <w:r>
        <w:t>1.6 Document structure</w:t>
      </w:r>
    </w:p>
    <w:p w:rsidR="0004697D" w:rsidRDefault="0004697D" w:rsidP="0004697D">
      <w:pPr>
        <w:pStyle w:val="ListParagraph"/>
      </w:pPr>
      <w:r>
        <w:rPr>
          <w:b/>
        </w:rPr>
        <w:t xml:space="preserve">• </w:t>
      </w:r>
      <w:r>
        <w:t>Section 2 describes the SAIFA structure, infrastructure layers, the role of the AI Gateway and European federation.</w:t>
      </w:r>
    </w:p>
    <w:p w:rsidR="0004697D" w:rsidRDefault="0004697D" w:rsidP="0004697D">
      <w:pPr>
        <w:pStyle w:val="ListParagraph"/>
      </w:pPr>
      <w:r>
        <w:rPr>
          <w:b/>
        </w:rPr>
        <w:t xml:space="preserve">• </w:t>
      </w:r>
      <w:r>
        <w:t>Section 3 presents the Domain Use Stories.</w:t>
      </w:r>
    </w:p>
    <w:p w:rsidR="0004697D" w:rsidRDefault="0004697D" w:rsidP="0004697D">
      <w:pPr>
        <w:pStyle w:val="ListParagraph"/>
      </w:pPr>
      <w:r>
        <w:rPr>
          <w:b/>
        </w:rPr>
        <w:t xml:space="preserve">• </w:t>
      </w:r>
      <w:r>
        <w:t>Section 4 defines the system boundary, actors and representative System Use Cases.</w:t>
      </w:r>
    </w:p>
    <w:p w:rsidR="0004697D" w:rsidRDefault="0004697D" w:rsidP="0004697D">
      <w:pPr>
        <w:pStyle w:val="ListParagraph"/>
      </w:pPr>
      <w:r>
        <w:rPr>
          <w:b/>
        </w:rPr>
        <w:t xml:space="preserve">• </w:t>
      </w:r>
      <w:r>
        <w:t>Section 5 lists candidate tools and the technology-selection approach.</w:t>
      </w:r>
    </w:p>
    <w:p w:rsidR="0004697D" w:rsidRDefault="0004697D" w:rsidP="0004697D">
      <w:pPr>
        <w:pStyle w:val="ListParagraph"/>
      </w:pPr>
      <w:r>
        <w:rPr>
          <w:b/>
        </w:rPr>
        <w:t xml:space="preserve">• </w:t>
      </w:r>
      <w:r>
        <w:t>Section 6 consolidates risks and mitigation measures.</w:t>
      </w:r>
    </w:p>
    <w:p w:rsidR="0004697D" w:rsidRDefault="0004697D" w:rsidP="0004697D">
      <w:pPr>
        <w:pStyle w:val="ListParagraph"/>
      </w:pPr>
      <w:r>
        <w:rPr>
          <w:b/>
        </w:rPr>
        <w:t xml:space="preserve">• </w:t>
      </w:r>
      <w:r>
        <w:t>Section 7 provides the roadmap, contractual milestones, and testing and validation plan.</w:t>
      </w:r>
    </w:p>
    <w:p w:rsidR="0004697D" w:rsidRDefault="0004697D" w:rsidP="0004697D">
      <w:pPr>
        <w:pStyle w:val="ListParagraph"/>
      </w:pPr>
      <w:r>
        <w:rPr>
          <w:b/>
        </w:rPr>
        <w:t xml:space="preserve">• </w:t>
      </w:r>
      <w:r>
        <w:t>Section 8 concludes the design and identifies the immediate implementation focus.</w:t>
      </w:r>
    </w:p>
    <w:p w:rsidR="007C38B2" w:rsidRPr="0084258F" w:rsidRDefault="007C38B2" w:rsidP="0084258F"/>
    <w:sectPr w:rsidR="007C38B2" w:rsidRPr="0084258F" w:rsidSect="007C38B2">
      <w:pgSz w:w="11906" w:h="16838"/>
      <w:pgMar w:top="1134" w:right="1134" w:bottom="1134" w:left="1134"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autoHyphenation/>
  <w:characterSpacingControl w:val="doNotCompress"/>
  <w:compat/>
  <w:rsids>
    <w:rsidRoot w:val="007C38B2"/>
    <w:rsid w:val="0004697D"/>
    <w:rsid w:val="001A34AA"/>
    <w:rsid w:val="00333493"/>
    <w:rsid w:val="007C38B2"/>
    <w:rsid w:val="0084258F"/>
    <w:rsid w:val="00903291"/>
    <w:rsid w:val="00BD279B"/>
    <w:rsid w:val="00CC4235"/>
    <w:rsid w:val="00E65B8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67C"/>
    <w:pPr>
      <w:spacing w:after="100" w:line="259" w:lineRule="auto"/>
    </w:pPr>
    <w:rPr>
      <w:rFonts w:ascii="Arial"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qFormat/>
    <w:rsid w:val="007C38B2"/>
    <w:pPr>
      <w:keepNext/>
      <w:spacing w:after="200" w:line="276" w:lineRule="auto"/>
    </w:pPr>
    <w:rPr>
      <w:rFonts w:ascii="Arial" w:eastAsia="Calibri" w:hAnsi="Arial"/>
      <w:b/>
      <w:color w:val="1F4E79"/>
      <w:sz w:val="32"/>
    </w:rPr>
  </w:style>
  <w:style w:type="paragraph" w:customStyle="1" w:styleId="Heading21">
    <w:name w:val="Heading 21"/>
    <w:qFormat/>
    <w:rsid w:val="007C38B2"/>
    <w:pPr>
      <w:keepNext/>
      <w:spacing w:before="240" w:after="100" w:line="276" w:lineRule="auto"/>
    </w:pPr>
    <w:rPr>
      <w:rFonts w:ascii="Arial" w:eastAsia="Calibri" w:hAnsi="Arial"/>
      <w:b/>
      <w:color w:val="1F4E79"/>
      <w:sz w:val="26"/>
    </w:rPr>
  </w:style>
  <w:style w:type="paragraph" w:customStyle="1" w:styleId="Heading31">
    <w:name w:val="Heading 31"/>
    <w:qFormat/>
    <w:rsid w:val="007C38B2"/>
    <w:pPr>
      <w:keepNext/>
      <w:spacing w:before="200" w:after="80" w:line="276" w:lineRule="auto"/>
    </w:pPr>
    <w:rPr>
      <w:rFonts w:ascii="Arial" w:eastAsia="Calibri" w:hAnsi="Arial"/>
      <w:b/>
      <w:color w:val="1F4E79"/>
      <w:sz w:val="23"/>
    </w:rPr>
  </w:style>
  <w:style w:type="paragraph" w:customStyle="1" w:styleId="Heading41">
    <w:name w:val="Heading 41"/>
    <w:qFormat/>
    <w:rsid w:val="007C38B2"/>
    <w:pPr>
      <w:keepNext/>
      <w:spacing w:before="120" w:after="40" w:line="276" w:lineRule="auto"/>
    </w:pPr>
    <w:rPr>
      <w:rFonts w:ascii="Arial" w:eastAsia="Calibri" w:hAnsi="Arial"/>
      <w:b/>
      <w:color w:val="1F4E79"/>
      <w:sz w:val="21"/>
    </w:rPr>
  </w:style>
  <w:style w:type="paragraph" w:customStyle="1" w:styleId="Heading">
    <w:name w:val="Heading"/>
    <w:basedOn w:val="Normal"/>
    <w:next w:val="BodyText"/>
    <w:qFormat/>
    <w:rsid w:val="007C38B2"/>
    <w:pPr>
      <w:keepNext/>
      <w:spacing w:before="240" w:after="120"/>
    </w:pPr>
    <w:rPr>
      <w:rFonts w:ascii="Liberation Sans" w:eastAsia="Microsoft YaHei" w:hAnsi="Liberation Sans" w:cs="Arial Unicode MS"/>
      <w:sz w:val="28"/>
      <w:szCs w:val="28"/>
    </w:rPr>
  </w:style>
  <w:style w:type="paragraph" w:styleId="BodyText">
    <w:name w:val="Body Text"/>
    <w:basedOn w:val="Normal"/>
    <w:rsid w:val="007C38B2"/>
    <w:pPr>
      <w:spacing w:after="140" w:line="276" w:lineRule="auto"/>
    </w:pPr>
  </w:style>
  <w:style w:type="paragraph" w:styleId="List">
    <w:name w:val="List"/>
    <w:basedOn w:val="BodyText"/>
    <w:rsid w:val="007C38B2"/>
    <w:rPr>
      <w:rFonts w:cs="Arial Unicode MS"/>
    </w:rPr>
  </w:style>
  <w:style w:type="paragraph" w:customStyle="1" w:styleId="Caption1">
    <w:name w:val="Caption1"/>
    <w:qFormat/>
    <w:rsid w:val="007C38B2"/>
    <w:pPr>
      <w:spacing w:before="60" w:after="160" w:line="276" w:lineRule="auto"/>
    </w:pPr>
    <w:rPr>
      <w:rFonts w:ascii="Arial" w:eastAsia="Calibri" w:hAnsi="Arial"/>
      <w:i/>
      <w:color w:val="464646"/>
      <w:sz w:val="18"/>
    </w:rPr>
  </w:style>
  <w:style w:type="paragraph" w:customStyle="1" w:styleId="Index">
    <w:name w:val="Index"/>
    <w:basedOn w:val="Normal"/>
    <w:qFormat/>
    <w:rsid w:val="007C38B2"/>
    <w:pPr>
      <w:suppressLineNumbers/>
    </w:pPr>
    <w:rPr>
      <w:rFonts w:cs="Arial Unicode MS"/>
    </w:rPr>
  </w:style>
  <w:style w:type="paragraph" w:styleId="ListParagraph">
    <w:name w:val="List Paragraph"/>
    <w:basedOn w:val="Normal"/>
    <w:uiPriority w:val="34"/>
    <w:qFormat/>
    <w:rsid w:val="002867C3"/>
    <w:pPr>
      <w:widowControl w:val="0"/>
      <w:spacing w:after="40" w:line="240" w:lineRule="auto"/>
      <w:ind w:left="312" w:hanging="142"/>
    </w:pPr>
    <w:rPr>
      <w:rFonts w:eastAsia="Times New Roman" w:cs="Times New Roman"/>
    </w:rPr>
  </w:style>
  <w:style w:type="paragraph" w:customStyle="1" w:styleId="Title1">
    <w:name w:val="Title1"/>
    <w:qFormat/>
    <w:rsid w:val="007C38B2"/>
    <w:pPr>
      <w:keepNext/>
      <w:spacing w:after="240" w:line="276" w:lineRule="auto"/>
    </w:pPr>
    <w:rPr>
      <w:rFonts w:ascii="Arial" w:eastAsia="Calibri" w:hAnsi="Arial"/>
      <w:b/>
      <w:color w:val="1F4E79"/>
      <w:sz w:val="36"/>
    </w:rPr>
  </w:style>
  <w:style w:type="paragraph" w:customStyle="1" w:styleId="ListNumber1">
    <w:name w:val="List Number1"/>
    <w:rsid w:val="007C38B2"/>
    <w:pPr>
      <w:spacing w:after="200" w:line="276" w:lineRule="auto"/>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Zaharije Radivojević</cp:lastModifiedBy>
  <cp:revision>7</cp:revision>
  <dcterms:created xsi:type="dcterms:W3CDTF">2026-07-21T19:13:00Z</dcterms:created>
  <dcterms:modified xsi:type="dcterms:W3CDTF">2026-07-22T08:11:00Z</dcterms:modified>
</cp:coreProperties>
</file>