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6BF4" w:rsidRDefault="00596BF4" w:rsidP="00596BF4">
      <w:pPr>
        <w:pStyle w:val="Heading11"/>
        <w:spacing w:before="120" w:after="120"/>
        <w:jc w:val="both"/>
        <w:rPr>
          <w:rFonts w:ascii="Times New Roman" w:hAnsi="Times New Roman"/>
        </w:rPr>
      </w:pPr>
      <w:r>
        <w:t>2. SAIFA Structure and the Role of the AI Gateway</w:t>
      </w:r>
    </w:p>
    <w:p w:rsidR="00596BF4" w:rsidRDefault="00596BF4" w:rsidP="00596BF4">
      <w:pPr>
        <w:widowControl/>
        <w:spacing w:before="120" w:after="120"/>
        <w:jc w:val="both"/>
        <w:rPr>
          <w:rFonts w:ascii="Times New Roman" w:hAnsi="Times New Roman"/>
        </w:rPr>
      </w:pPr>
    </w:p>
    <w:p w:rsidR="00596BF4" w:rsidRDefault="00596BF4" w:rsidP="00596BF4">
      <w:pPr>
        <w:pStyle w:val="Heading21"/>
      </w:pPr>
      <w:r>
        <w:t>2.1 SAIFA as a national AI Factory Antenna</w:t>
      </w:r>
    </w:p>
    <w:p w:rsidR="00596BF4" w:rsidRDefault="00596BF4" w:rsidP="00596BF4">
      <w:pPr>
        <w:widowControl/>
        <w:spacing w:before="120" w:after="120"/>
        <w:jc w:val="both"/>
        <w:rPr>
          <w:rFonts w:ascii="Times New Roman" w:hAnsi="Times New Roman"/>
        </w:rPr>
      </w:pPr>
      <w:r>
        <w:t>SAIFA is designed as a national single entry point for AI services, computing resources, data, models, tools, training and expert support. The AI Gateway provides the common user-facing access layer, while the underlying capabilities are delivered through the project infrastructure, sector-specific applications, support services and links to European AI Factory resources. This arrangement reduces fragmentation and enables users from research, industry and public administration to follow structured paths from initial exploration to validated AI workflows.</w:t>
      </w:r>
    </w:p>
    <w:p w:rsidR="00596BF4" w:rsidRDefault="00596BF4" w:rsidP="00596BF4">
      <w:pPr>
        <w:widowControl/>
        <w:jc w:val="both"/>
        <w:rPr>
          <w:rFonts w:ascii="Times New Roman" w:hAnsi="Times New Roman"/>
        </w:rPr>
      </w:pPr>
      <w:r>
        <w:rPr>
          <w:noProof/>
          <w:lang w:eastAsia="en-GB"/>
        </w:rPr>
        <w:drawing>
          <wp:inline distT="0" distB="0" distL="0" distR="0">
            <wp:extent cx="6438900" cy="3435350"/>
            <wp:effectExtent l="0" t="0" r="0" b="0"/>
            <wp:docPr id="26"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pic:cNvPicPr>
                      <a:picLocks noChangeAspect="1" noChangeArrowheads="1"/>
                    </pic:cNvPicPr>
                  </pic:nvPicPr>
                  <pic:blipFill>
                    <a:blip r:embed="rId5" cstate="print"/>
                    <a:stretch>
                      <a:fillRect/>
                    </a:stretch>
                  </pic:blipFill>
                  <pic:spPr bwMode="auto">
                    <a:xfrm>
                      <a:off x="0" y="0"/>
                      <a:ext cx="6438900" cy="3435350"/>
                    </a:xfrm>
                    <a:prstGeom prst="rect">
                      <a:avLst/>
                    </a:prstGeom>
                  </pic:spPr>
                </pic:pic>
              </a:graphicData>
            </a:graphic>
          </wp:inline>
        </w:drawing>
      </w:r>
    </w:p>
    <w:p w:rsidR="00596BF4" w:rsidRDefault="00596BF4" w:rsidP="00596BF4">
      <w:pPr>
        <w:pStyle w:val="Caption1"/>
        <w:spacing w:before="120" w:after="120"/>
        <w:jc w:val="center"/>
        <w:rPr>
          <w:rFonts w:ascii="Times New Roman" w:hAnsi="Times New Roman"/>
        </w:rPr>
      </w:pPr>
      <w:proofErr w:type="gramStart"/>
      <w:r>
        <w:t>Figure 2.1.</w:t>
      </w:r>
      <w:proofErr w:type="gramEnd"/>
      <w:r>
        <w:t xml:space="preserve"> </w:t>
      </w:r>
      <w:proofErr w:type="gramStart"/>
      <w:r>
        <w:t>Overview of the Serbian AI Factory Antenna structure.</w:t>
      </w:r>
      <w:proofErr w:type="gramEnd"/>
    </w:p>
    <w:p w:rsidR="00596BF4" w:rsidRDefault="00596BF4" w:rsidP="00596BF4">
      <w:pPr>
        <w:pStyle w:val="Heading21"/>
      </w:pPr>
      <w:r>
        <w:t>2.2 National infrastructure and computing environment</w:t>
      </w:r>
    </w:p>
    <w:p w:rsidR="00596BF4" w:rsidRDefault="00596BF4" w:rsidP="00596BF4">
      <w:pPr>
        <w:widowControl/>
        <w:spacing w:before="120" w:after="120"/>
        <w:jc w:val="both"/>
        <w:rPr>
          <w:rFonts w:ascii="Times New Roman" w:hAnsi="Times New Roman"/>
        </w:rPr>
      </w:pPr>
      <w:r>
        <w:t xml:space="preserve">SAIFA uses the PARADOX HPC cluster operated by IPB and the AI computing infrastructure operated by ITE for development, integration and preliminary testing. Both provide dedicated computing time and storage for project activities. The planned 100 </w:t>
      </w:r>
      <w:proofErr w:type="spellStart"/>
      <w:r>
        <w:t>Gbps</w:t>
      </w:r>
      <w:proofErr w:type="spellEnd"/>
      <w:r>
        <w:t xml:space="preserve"> connection between the IPB and ITE data centres, established with AMRES, supports efficient transfer and synchronisation of project data. Final validation and performance testing will also use the Greek and Italian AI Factory infrastructures in accordance with the access and interoperability arrangements developed in WP3.</w:t>
      </w:r>
    </w:p>
    <w:p w:rsidR="00596BF4" w:rsidRDefault="00596BF4" w:rsidP="00596BF4">
      <w:pPr>
        <w:widowControl/>
        <w:spacing w:before="120" w:after="120"/>
        <w:jc w:val="both"/>
        <w:rPr>
          <w:rFonts w:ascii="Times New Roman" w:hAnsi="Times New Roman"/>
        </w:rPr>
      </w:pPr>
      <w:r>
        <w:t>Existing scheduling and resource-management systems will be adapted to support priority-aware and workload-aware allocation. Users will submit jobs with defined CPU, GPU, memory and runtime needs, while the underlying schedulers remain responsible for queue management, backfilling, quality-of-service policies and fair use of the available capacity.</w:t>
      </w:r>
    </w:p>
    <w:p w:rsidR="00596BF4" w:rsidRDefault="00596BF4" w:rsidP="00596BF4">
      <w:pPr>
        <w:widowControl/>
        <w:spacing w:before="120" w:after="120"/>
        <w:jc w:val="both"/>
        <w:rPr>
          <w:rFonts w:ascii="Times New Roman" w:hAnsi="Times New Roman"/>
        </w:rPr>
      </w:pPr>
      <w:r>
        <w:t xml:space="preserve">The computing environment will support containerised execution so that applications and their dependencies can be reproduced across compatible platforms. </w:t>
      </w:r>
      <w:proofErr w:type="spellStart"/>
      <w:r>
        <w:t>Kubernetes</w:t>
      </w:r>
      <w:proofErr w:type="spellEnd"/>
      <w:r>
        <w:t xml:space="preserve">-based services and the existing cluster schedulers may be used for different workload types. </w:t>
      </w:r>
      <w:proofErr w:type="spellStart"/>
      <w:r>
        <w:t>Curated</w:t>
      </w:r>
      <w:proofErr w:type="spellEnd"/>
      <w:r>
        <w:t xml:space="preserve"> images for widely used AI frameworks will simplify </w:t>
      </w:r>
      <w:proofErr w:type="spellStart"/>
      <w:r>
        <w:t>onboarding</w:t>
      </w:r>
      <w:proofErr w:type="spellEnd"/>
      <w:r>
        <w:t xml:space="preserve"> and provide repeatable starting environments.</w:t>
      </w:r>
    </w:p>
    <w:p w:rsidR="00596BF4" w:rsidRDefault="00596BF4" w:rsidP="00596BF4">
      <w:pPr>
        <w:widowControl/>
        <w:spacing w:before="120" w:after="120"/>
        <w:jc w:val="both"/>
        <w:rPr>
          <w:rFonts w:ascii="Times New Roman" w:hAnsi="Times New Roman"/>
        </w:rPr>
      </w:pPr>
      <w:r>
        <w:lastRenderedPageBreak/>
        <w:t>Advanced users may also register approved custom environments when a domain workflow requires specific libraries or tool versions. The approval and execution process must preserve security, reproducibility and compatibility with the selected computing backend.</w:t>
      </w:r>
    </w:p>
    <w:p w:rsidR="00596BF4" w:rsidRDefault="00596BF4" w:rsidP="00596BF4">
      <w:pPr>
        <w:pStyle w:val="Heading21"/>
      </w:pPr>
      <w:r>
        <w:t>2.3 AI Gateway layer</w:t>
      </w:r>
    </w:p>
    <w:p w:rsidR="00596BF4" w:rsidRDefault="00596BF4" w:rsidP="00596BF4">
      <w:pPr>
        <w:widowControl/>
        <w:spacing w:before="120" w:after="120"/>
        <w:jc w:val="both"/>
        <w:rPr>
          <w:rFonts w:ascii="Times New Roman" w:hAnsi="Times New Roman"/>
        </w:rPr>
      </w:pPr>
      <w:r>
        <w:t xml:space="preserve">The AI Gateway sits above the computing and data infrastructure as the unified access and integration layer. It provides structured discovery and access to applications, </w:t>
      </w:r>
      <w:proofErr w:type="gramStart"/>
      <w:r>
        <w:t>workflows,</w:t>
      </w:r>
      <w:proofErr w:type="gramEnd"/>
      <w:r>
        <w:t xml:space="preserve"> reusable tools, pre-trained models and AI-ready datasets, and connects these assets with execution environments. It also gives users access to development and consulting services, technical guidance, training modules and learning paths prepared in cooperation with WP5.</w:t>
      </w:r>
    </w:p>
    <w:p w:rsidR="00596BF4" w:rsidRDefault="00596BF4" w:rsidP="00596BF4">
      <w:pPr>
        <w:widowControl/>
        <w:spacing w:before="120" w:after="120"/>
        <w:jc w:val="both"/>
        <w:rPr>
          <w:rFonts w:ascii="Times New Roman" w:hAnsi="Times New Roman"/>
        </w:rPr>
      </w:pPr>
      <w:r>
        <w:t>The Gateway also supports controlled collaboration. Users and teams may share authorised models, datasets, code and results under common identity, access-control, monitoring and audit rules. Domain applications remain owned by WP4 and the relevant service teams; the Gateway exposes them through consistent metadata, access and execution patterns.</w:t>
      </w:r>
    </w:p>
    <w:p w:rsidR="00596BF4" w:rsidRDefault="00596BF4" w:rsidP="00596BF4">
      <w:pPr>
        <w:pStyle w:val="Heading21"/>
      </w:pPr>
      <w:r>
        <w:t>2.4 Federation with European AI infrastructures</w:t>
      </w:r>
    </w:p>
    <w:p w:rsidR="00596BF4" w:rsidRDefault="00596BF4" w:rsidP="00596BF4">
      <w:pPr>
        <w:widowControl/>
        <w:spacing w:before="120" w:after="120"/>
        <w:jc w:val="both"/>
        <w:rPr>
          <w:rFonts w:ascii="Times New Roman" w:hAnsi="Times New Roman"/>
        </w:rPr>
      </w:pPr>
      <w:r>
        <w:t xml:space="preserve">The Gateway provides the technical link between SAIFA, the </w:t>
      </w:r>
      <w:proofErr w:type="spellStart"/>
      <w:r>
        <w:t>Pharos</w:t>
      </w:r>
      <w:proofErr w:type="spellEnd"/>
      <w:r>
        <w:t xml:space="preserve"> AI Factory in Greece, IT4LIA in Italy, the AI-on-Demand Platform and other </w:t>
      </w:r>
      <w:proofErr w:type="spellStart"/>
      <w:r>
        <w:t>EuroHPC</w:t>
      </w:r>
      <w:proofErr w:type="spellEnd"/>
      <w:r>
        <w:t xml:space="preserve"> AI Factories and Antennas. The collaboration commitments described in the project documentation include:</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Model dissemination. </w:t>
      </w:r>
      <w:r>
        <w:t>Make validated and publishable SAIFA models discoverable through connected catalogues, with their origin, version and usage conditions preserved.</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Dataset contribution. </w:t>
      </w:r>
      <w:r>
        <w:t>Register AI-ready datasets in connected data catalogues where legal, ethical and licensing conditions permit publication or controlled access.</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Validation feedback. </w:t>
      </w:r>
      <w:r>
        <w:t>Share evidence from testing and validation of SAIFA services, workflows and tools to support interoperability and service improvement.</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Synthetic data exchange. </w:t>
      </w:r>
      <w:r>
        <w:t>Contribute synthetic datasets together with quality and applicability information where their release is approved.</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Service enhancement and documentation. </w:t>
      </w:r>
      <w:r>
        <w:t>Provide technical feedback, extensions, documentation and tutorials that improve the usability of shared AI Factory services.</w:t>
      </w:r>
    </w:p>
    <w:p w:rsidR="00596BF4"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Training collaboration. </w:t>
      </w:r>
      <w:r>
        <w:t>Co-develop and reuse specialised training material with partner AI Factories.</w:t>
      </w:r>
    </w:p>
    <w:p w:rsidR="00596BF4" w:rsidRPr="004E7B8F" w:rsidRDefault="00596BF4" w:rsidP="00596BF4">
      <w:pPr>
        <w:pStyle w:val="ListParagraph"/>
        <w:widowControl/>
        <w:numPr>
          <w:ilvl w:val="0"/>
          <w:numId w:val="1"/>
        </w:numPr>
        <w:spacing w:before="120" w:after="120"/>
        <w:jc w:val="both"/>
        <w:rPr>
          <w:rFonts w:ascii="Times New Roman" w:hAnsi="Times New Roman"/>
        </w:rPr>
      </w:pPr>
      <w:r>
        <w:rPr>
          <w:b/>
          <w:color w:val="1F4E79"/>
        </w:rPr>
        <w:t xml:space="preserve">Promotion and outreach. </w:t>
      </w:r>
      <w:r>
        <w:t>Promote relevant partner services and training opportunities to the Serbian user community and support wider European dissemination.</w:t>
      </w:r>
    </w:p>
    <w:p w:rsidR="00596BF4" w:rsidRPr="004E7B8F" w:rsidRDefault="00596BF4" w:rsidP="00596BF4">
      <w:pPr>
        <w:pStyle w:val="ListParagraph"/>
        <w:widowControl/>
        <w:ind w:left="720" w:firstLine="0"/>
        <w:jc w:val="both"/>
        <w:rPr>
          <w:rFonts w:ascii="Times New Roman" w:hAnsi="Times New Roman"/>
        </w:rPr>
      </w:pPr>
      <w:r w:rsidRPr="008C5E77">
        <w:rPr>
          <w:rFonts w:ascii="Times New Roman" w:hAnsi="Times New Roman"/>
          <w:noProof/>
          <w:lang w:eastAsia="en-GB"/>
        </w:rPr>
        <w:lastRenderedPageBreak/>
        <w:drawing>
          <wp:inline distT="0" distB="0" distL="0" distR="0">
            <wp:extent cx="5553615" cy="3338423"/>
            <wp:effectExtent l="19050" t="0" r="8985" b="0"/>
            <wp:docPr id="27"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048878" cy="5351382"/>
                      <a:chOff x="544402" y="1252847"/>
                      <a:chExt cx="8048878" cy="5351382"/>
                    </a:xfrm>
                  </a:grpSpPr>
                  <a:sp>
                    <a:nvSpPr>
                      <a:cNvPr id="5" name="Rounded Rectangle 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F139681F-5C9E-A0B4-CB1F-7832BFC599EF}"/>
                          </a:ext>
                        </a:extLst>
                      </a:cNvPr>
                      <a:cNvSpPr/>
                    </a:nvSpPr>
                    <a:spPr>
                      <a:xfrm>
                        <a:off x="3048503" y="1252847"/>
                        <a:ext cx="2781507" cy="1514105"/>
                      </a:xfrm>
                      <a:prstGeom prst="roundRect">
                        <a:avLst>
                          <a:gd name="adj" fmla="val 4665"/>
                        </a:avLst>
                      </a:prstGeom>
                      <a:solidFill>
                        <a:srgbClr val="194C8C"/>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sz="1800" dirty="0"/>
                            <a:t>AI Gateway</a:t>
                          </a:r>
                        </a:p>
                      </a:txBody>
                      <a:useSpRect/>
                    </a:txSp>
                    <a:style>
                      <a:lnRef idx="1">
                        <a:schemeClr val="accent1"/>
                      </a:lnRef>
                      <a:fillRef idx="3">
                        <a:schemeClr val="accent1"/>
                      </a:fillRef>
                      <a:effectRef idx="2">
                        <a:schemeClr val="accent1"/>
                      </a:effectRef>
                      <a:fontRef idx="minor">
                        <a:schemeClr val="lt1"/>
                      </a:fontRef>
                    </a:style>
                  </a:sp>
                  <a:sp>
                    <a:nvSpPr>
                      <a:cNvPr id="6" name="Rounded Rectangle 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7C954176-DC9F-5BFB-BA93-6953B300B60D}"/>
                          </a:ext>
                        </a:extLst>
                      </a:cNvPr>
                      <a:cNvSpPr/>
                    </a:nvSpPr>
                    <a:spPr>
                      <a:xfrm>
                        <a:off x="3141821" y="1402443"/>
                        <a:ext cx="2594867" cy="271813"/>
                      </a:xfrm>
                      <a:prstGeom prst="roundRect">
                        <a:avLst/>
                      </a:prstGeom>
                      <a:solidFill>
                        <a:srgbClr val="3C6EB4"/>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600" dirty="0"/>
                            <a:t> </a:t>
                          </a:r>
                          <a:r>
                            <a:rPr lang="en-US" sz="1600" dirty="0" err="1"/>
                            <a:t>AuthN</a:t>
                          </a:r>
                          <a:r>
                            <a:rPr lang="en-US" sz="1600" dirty="0"/>
                            <a:t> &amp;  </a:t>
                          </a:r>
                          <a:r>
                            <a:rPr lang="en-US" sz="1600" dirty="0" err="1"/>
                            <a:t>AuthZ</a:t>
                          </a:r>
                          <a:endParaRPr lang="en-US" sz="1600" dirty="0"/>
                        </a:p>
                      </a:txBody>
                      <a:useSpRect/>
                    </a:txSp>
                    <a:style>
                      <a:lnRef idx="1">
                        <a:schemeClr val="accent1"/>
                      </a:lnRef>
                      <a:fillRef idx="3">
                        <a:schemeClr val="accent1"/>
                      </a:fillRef>
                      <a:effectRef idx="2">
                        <a:schemeClr val="accent1"/>
                      </a:effectRef>
                      <a:fontRef idx="minor">
                        <a:schemeClr val="lt1"/>
                      </a:fontRef>
                    </a:style>
                  </a:sp>
                  <a:sp>
                    <a:nvSpPr>
                      <a:cNvPr id="7" name="Rounded Rectangle 6">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D6084051-941C-E0D0-CB04-0C9B561393AC}"/>
                          </a:ext>
                        </a:extLst>
                      </a:cNvPr>
                      <a:cNvSpPr/>
                    </a:nvSpPr>
                    <a:spPr>
                      <a:xfrm>
                        <a:off x="3141821" y="2367478"/>
                        <a:ext cx="2594867" cy="271813"/>
                      </a:xfrm>
                      <a:prstGeom prst="roundRect">
                        <a:avLst/>
                      </a:prstGeom>
                      <a:solidFill>
                        <a:srgbClr val="3C6EB4"/>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600" dirty="0"/>
                            <a:t>Integration modules</a:t>
                          </a:r>
                        </a:p>
                      </a:txBody>
                      <a:useSpRect/>
                    </a:txSp>
                    <a:style>
                      <a:lnRef idx="1">
                        <a:schemeClr val="accent1"/>
                      </a:lnRef>
                      <a:fillRef idx="3">
                        <a:schemeClr val="accent1"/>
                      </a:fillRef>
                      <a:effectRef idx="2">
                        <a:schemeClr val="accent1"/>
                      </a:effectRef>
                      <a:fontRef idx="minor">
                        <a:schemeClr val="lt1"/>
                      </a:fontRef>
                    </a:style>
                  </a:sp>
                  <a:sp>
                    <a:nvSpPr>
                      <a:cNvPr id="8" name="Rounded Rectangle 7">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805A308-DD24-9B4E-52C8-DE358CA18584}"/>
                          </a:ext>
                        </a:extLst>
                      </a:cNvPr>
                      <a:cNvSpPr/>
                    </a:nvSpPr>
                    <a:spPr>
                      <a:xfrm>
                        <a:off x="2355124" y="2965815"/>
                        <a:ext cx="4168260" cy="478640"/>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200" dirty="0"/>
                            <a:t>SAIFA 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9" name="Rounded Rectangle 8">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A31B569-AE88-7788-A4F4-A5DD25411D48}"/>
                          </a:ext>
                        </a:extLst>
                      </a:cNvPr>
                      <a:cNvSpPr/>
                    </a:nvSpPr>
                    <a:spPr>
                      <a:xfrm>
                        <a:off x="6439346" y="1653278"/>
                        <a:ext cx="1765235" cy="850106"/>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dirty="0"/>
                            <a:t> </a:t>
                          </a:r>
                          <a:r>
                            <a:rPr lang="en-US" sz="1200" dirty="0"/>
                            <a:t>Pharos</a:t>
                          </a:r>
                        </a:p>
                        <a:p>
                          <a:pPr algn="ctr">
                            <a:defRPr sz="1800" b="1">
                              <a:solidFill>
                                <a:srgbClr val="FFFFFF"/>
                              </a:solidFill>
                            </a:defRPr>
                          </a:pPr>
                          <a:r>
                            <a:rPr lang="en-US" sz="1200" dirty="0"/>
                            <a:t>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10" name="Rounded Rectangle 9">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A19F81F4-CD86-6666-0849-FA7B54BB34BD}"/>
                          </a:ext>
                        </a:extLst>
                      </a:cNvPr>
                      <a:cNvSpPr/>
                    </a:nvSpPr>
                    <a:spPr>
                      <a:xfrm>
                        <a:off x="737003" y="1653278"/>
                        <a:ext cx="1765235" cy="850106"/>
                      </a:xfrm>
                      <a:prstGeom prst="roundRect">
                        <a:avLst/>
                      </a:prstGeom>
                      <a:solidFill>
                        <a:srgbClr val="5C3D99"/>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dirty="0"/>
                            <a:t>  </a:t>
                          </a:r>
                          <a:r>
                            <a:rPr lang="en-US" sz="1200" dirty="0"/>
                            <a:t>IT4LIA</a:t>
                          </a:r>
                        </a:p>
                        <a:p>
                          <a:pPr algn="ctr">
                            <a:defRPr sz="1800" b="1">
                              <a:solidFill>
                                <a:srgbClr val="FFFFFF"/>
                              </a:solidFill>
                            </a:defRPr>
                          </a:pPr>
                          <a:r>
                            <a:rPr lang="en-US" sz="1200" dirty="0"/>
                            <a:t>Service Catalogue</a:t>
                          </a:r>
                          <a:endParaRPr sz="1200" dirty="0"/>
                        </a:p>
                      </a:txBody>
                      <a:useSpRect/>
                    </a:txSp>
                    <a:style>
                      <a:lnRef idx="1">
                        <a:schemeClr val="accent1"/>
                      </a:lnRef>
                      <a:fillRef idx="3">
                        <a:schemeClr val="accent1"/>
                      </a:fillRef>
                      <a:effectRef idx="2">
                        <a:schemeClr val="accent1"/>
                      </a:effectRef>
                      <a:fontRef idx="minor">
                        <a:schemeClr val="lt1"/>
                      </a:fontRef>
                    </a:style>
                  </a:sp>
                  <a:sp>
                    <a:nvSpPr>
                      <a:cNvPr id="11" name="Rounded Rectangle 10">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96E88CD8-2A3A-218B-7C21-1EADBAAA4E2D}"/>
                          </a:ext>
                        </a:extLst>
                      </a:cNvPr>
                      <a:cNvSpPr/>
                    </a:nvSpPr>
                    <a:spPr>
                      <a:xfrm>
                        <a:off x="7144944" y="3703951"/>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sz="1000" dirty="0"/>
                            <a:t>Helpdesk</a:t>
                          </a:r>
                        </a:p>
                      </a:txBody>
                      <a:useSpRect/>
                    </a:txSp>
                    <a:style>
                      <a:lnRef idx="1">
                        <a:schemeClr val="accent1"/>
                      </a:lnRef>
                      <a:fillRef idx="3">
                        <a:schemeClr val="accent1"/>
                      </a:fillRef>
                      <a:effectRef idx="2">
                        <a:schemeClr val="accent1"/>
                      </a:effectRef>
                      <a:fontRef idx="minor">
                        <a:schemeClr val="lt1"/>
                      </a:fontRef>
                    </a:style>
                  </a:sp>
                  <a:sp>
                    <a:nvSpPr>
                      <a:cNvPr id="12" name="Rounded Rectangle 11">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C95167DA-2457-1DDF-D5FF-CA8D85E0605A}"/>
                          </a:ext>
                        </a:extLst>
                      </a:cNvPr>
                      <a:cNvSpPr/>
                    </a:nvSpPr>
                    <a:spPr>
                      <a:xfrm>
                        <a:off x="5413327"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Training</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3" name="Rounded Rectangle 12">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E59915AF-D135-3089-EAD5-7B3A1EA2D7F8}"/>
                          </a:ext>
                        </a:extLst>
                      </a:cNvPr>
                      <a:cNvSpPr/>
                    </a:nvSpPr>
                    <a:spPr>
                      <a:xfrm>
                        <a:off x="544403" y="3827640"/>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models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4" name="Rounded Rectangle 1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23A6C27A-6016-AB94-B92C-C42F835DD1EF}"/>
                          </a:ext>
                        </a:extLst>
                      </a:cNvPr>
                      <a:cNvSpPr/>
                    </a:nvSpPr>
                    <a:spPr>
                      <a:xfrm>
                        <a:off x="544402" y="4398467"/>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workflows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5" name="Rounded Rectangle 1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C8E2299-1AF2-9D4E-3119-316972AD75BA}"/>
                          </a:ext>
                        </a:extLst>
                      </a:cNvPr>
                      <a:cNvSpPr/>
                    </a:nvSpPr>
                    <a:spPr>
                      <a:xfrm>
                        <a:off x="544405" y="3256813"/>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codes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6" name="Rounded Rectangle 1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4BD77E3A-8DC2-114C-9058-1008590ABF42}"/>
                          </a:ext>
                        </a:extLst>
                      </a:cNvPr>
                      <a:cNvSpPr/>
                    </a:nvSpPr>
                    <a:spPr>
                      <a:xfrm>
                        <a:off x="2211994" y="3827639"/>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AI-ready 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7" name="Rounded Rectangle 16">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7BF3EB62-84B1-8BBC-12C7-16F237DBD83A}"/>
                          </a:ext>
                        </a:extLst>
                      </a:cNvPr>
                      <a:cNvSpPr/>
                    </a:nvSpPr>
                    <a:spPr>
                      <a:xfrm>
                        <a:off x="3879585" y="3827639"/>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HPC infrastructure</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8" name="Rounded Rectangle 17">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8442E516-A3B5-B3E8-4A4F-BF815B2D216D}"/>
                          </a:ext>
                        </a:extLst>
                      </a:cNvPr>
                      <a:cNvSpPr/>
                    </a:nvSpPr>
                    <a:spPr>
                      <a:xfrm>
                        <a:off x="3878753"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infrastructure</a:t>
                          </a:r>
                          <a:endParaRPr sz="1000" dirty="0"/>
                        </a:p>
                      </a:txBody>
                      <a:useSpRect/>
                    </a:txSp>
                    <a:style>
                      <a:lnRef idx="1">
                        <a:schemeClr val="accent1"/>
                      </a:lnRef>
                      <a:fillRef idx="3">
                        <a:schemeClr val="accent1"/>
                      </a:fillRef>
                      <a:effectRef idx="2">
                        <a:schemeClr val="accent1"/>
                      </a:effectRef>
                      <a:fontRef idx="minor">
                        <a:schemeClr val="lt1"/>
                      </a:fontRef>
                    </a:style>
                  </a:sp>
                  <a:sp>
                    <a:nvSpPr>
                      <a:cNvPr id="19" name="Rounded Rectangle 18">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5FAB6AED-7200-293F-29B4-831A9F970B7D}"/>
                          </a:ext>
                        </a:extLst>
                      </a:cNvPr>
                      <a:cNvSpPr/>
                    </a:nvSpPr>
                    <a:spPr>
                      <a:xfrm>
                        <a:off x="2211994" y="4398466"/>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Synthetic 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0" name="Rounded Rectangle 19">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98AB0506-D5E7-7E44-F138-015B2A1CA24F}"/>
                          </a:ext>
                        </a:extLst>
                      </a:cNvPr>
                      <a:cNvSpPr/>
                    </a:nvSpPr>
                    <a:spPr>
                      <a:xfrm>
                        <a:off x="2211995" y="4963343"/>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Datasets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1" name="Rounded Rectangle 20">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A7AB7193-1A47-C51E-0F5E-45A67887225E}"/>
                          </a:ext>
                        </a:extLst>
                      </a:cNvPr>
                      <a:cNvSpPr/>
                    </a:nvSpPr>
                    <a:spPr>
                      <a:xfrm>
                        <a:off x="3878753" y="4972802"/>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Execution environments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2" name="Rounded Rectangle 21">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053F71A7-7453-7A84-3D96-CF6B5D2B126D}"/>
                          </a:ext>
                        </a:extLst>
                      </a:cNvPr>
                      <a:cNvSpPr/>
                    </a:nvSpPr>
                    <a:spPr>
                      <a:xfrm>
                        <a:off x="3878753" y="5547138"/>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Kubernetes  orchestration</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3" name="Rounded Rectangle 22">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194A9DDF-9C9A-8167-1EE7-7C01E17E825B}"/>
                          </a:ext>
                        </a:extLst>
                      </a:cNvPr>
                      <a:cNvSpPr/>
                    </a:nvSpPr>
                    <a:spPr>
                      <a:xfrm>
                        <a:off x="3878752" y="6121474"/>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Dynamic resource scheduling</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4" name="Rounded Rectangle 23">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5AB179AB-E07A-B51B-071E-BEB47B3C11B3}"/>
                          </a:ext>
                        </a:extLst>
                      </a:cNvPr>
                      <a:cNvSpPr/>
                    </a:nvSpPr>
                    <a:spPr>
                      <a:xfrm>
                        <a:off x="544402" y="4963344"/>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 AI applications</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5" name="Rounded Rectangle 24">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46B779E2-5577-8B0F-B631-70019F51B25D}"/>
                          </a:ext>
                        </a:extLst>
                      </a:cNvPr>
                      <a:cNvSpPr/>
                    </a:nvSpPr>
                    <a:spPr>
                      <a:xfrm>
                        <a:off x="5413327" y="4978197"/>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Documentation</a:t>
                          </a:r>
                          <a:endParaRPr sz="1000" dirty="0"/>
                        </a:p>
                      </a:txBody>
                      <a:useSpRect/>
                    </a:txSp>
                    <a:style>
                      <a:lnRef idx="1">
                        <a:schemeClr val="accent1"/>
                      </a:lnRef>
                      <a:fillRef idx="3">
                        <a:schemeClr val="accent1"/>
                      </a:fillRef>
                      <a:effectRef idx="2">
                        <a:schemeClr val="accent1"/>
                      </a:effectRef>
                      <a:fontRef idx="minor">
                        <a:schemeClr val="lt1"/>
                      </a:fontRef>
                    </a:style>
                  </a:sp>
                  <a:sp>
                    <a:nvSpPr>
                      <a:cNvPr id="26" name="Rounded Rectangle 25">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id="{B62DAC3C-8A67-218E-7755-0C46C458884C}"/>
                          </a:ext>
                        </a:extLst>
                      </a:cNvPr>
                      <a:cNvSpPr/>
                    </a:nvSpPr>
                    <a:spPr>
                      <a:xfrm>
                        <a:off x="7206787" y="5788515"/>
                        <a:ext cx="1386493" cy="482755"/>
                      </a:xfrm>
                      <a:prstGeom prst="roundRect">
                        <a:avLst/>
                      </a:prstGeom>
                      <a:solidFill>
                        <a:srgbClr val="198C78"/>
                      </a:solidFill>
                      <a:ln>
                        <a:solidFill>
                          <a:srgbClr val="D2D2D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defRPr sz="1800" b="1">
                              <a:solidFill>
                                <a:srgbClr val="FFFFFF"/>
                              </a:solidFill>
                            </a:defRPr>
                          </a:pPr>
                          <a:r>
                            <a:rPr lang="en-US" sz="1000" dirty="0"/>
                            <a:t>IMP Service</a:t>
                          </a:r>
                          <a:endParaRPr sz="1000" dirty="0"/>
                        </a:p>
                      </a:txBody>
                      <a:useSpRect/>
                    </a:txSp>
                    <a:style>
                      <a:lnRef idx="1">
                        <a:schemeClr val="accent1"/>
                      </a:lnRef>
                      <a:fillRef idx="3">
                        <a:schemeClr val="accent1"/>
                      </a:fillRef>
                      <a:effectRef idx="2">
                        <a:schemeClr val="accent1"/>
                      </a:effectRef>
                      <a:fontRef idx="minor">
                        <a:schemeClr val="lt1"/>
                      </a:fontRef>
                    </a:style>
                  </a:sp>
                </lc:lockedCanvas>
              </a:graphicData>
            </a:graphic>
          </wp:inline>
        </w:drawing>
      </w:r>
    </w:p>
    <w:p w:rsidR="00596BF4" w:rsidRPr="004E7B8F" w:rsidRDefault="00596BF4" w:rsidP="00596BF4">
      <w:pPr>
        <w:pStyle w:val="Caption1"/>
        <w:spacing w:before="120" w:after="120"/>
        <w:jc w:val="center"/>
      </w:pPr>
      <w:proofErr w:type="gramStart"/>
      <w:r>
        <w:t>Figure 2.2.</w:t>
      </w:r>
      <w:proofErr w:type="gramEnd"/>
      <w:r>
        <w:t xml:space="preserve"> </w:t>
      </w:r>
      <w:proofErr w:type="gramStart"/>
      <w:r>
        <w:t>Overview of the AI Gateway structure.</w:t>
      </w:r>
      <w:proofErr w:type="gramEnd"/>
    </w:p>
    <w:p w:rsidR="00596BF4" w:rsidRPr="004E7B8F" w:rsidRDefault="00596BF4" w:rsidP="00596BF4">
      <w:pPr>
        <w:widowControl/>
        <w:spacing w:before="120" w:after="120"/>
        <w:jc w:val="both"/>
        <w:rPr>
          <w:rFonts w:ascii="Times New Roman" w:hAnsi="Times New Roman"/>
        </w:rPr>
      </w:pPr>
    </w:p>
    <w:p w:rsidR="00596BF4" w:rsidRDefault="00596BF4" w:rsidP="00596BF4">
      <w:pPr>
        <w:pStyle w:val="Heading21"/>
      </w:pPr>
      <w:r>
        <w:t>2.5 Target domains and project contributions</w:t>
      </w:r>
    </w:p>
    <w:p w:rsidR="00596BF4" w:rsidRDefault="00596BF4" w:rsidP="00596BF4">
      <w:pPr>
        <w:jc w:val="both"/>
      </w:pPr>
      <w:r>
        <w:t xml:space="preserve">The AI Gateway supports the four principal application areas defined in WP4: language and culture, energy and manufacturing, health, and environment. These domains provide the datasets, models, workflows and validated applications through which the Gateway is tested. Cross-domain services such as </w:t>
      </w:r>
      <w:proofErr w:type="spellStart"/>
      <w:r>
        <w:t>cybersecurity</w:t>
      </w:r>
      <w:proofErr w:type="spellEnd"/>
      <w:r>
        <w:t>, trustworthy AI, training, support and interoperability apply across all four areas.</w:t>
      </w:r>
    </w:p>
    <w:p w:rsidR="00596BF4" w:rsidRPr="0033151D" w:rsidRDefault="00596BF4" w:rsidP="00596BF4"/>
    <w:sectPr w:rsidR="00596BF4" w:rsidRPr="0033151D" w:rsidSect="00130801">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431956"/>
    <w:multiLevelType w:val="multilevel"/>
    <w:tmpl w:val="3AA8A3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78162E7B"/>
    <w:multiLevelType w:val="multilevel"/>
    <w:tmpl w:val="C1D22B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autoHyphenation/>
  <w:characterSpacingControl w:val="doNotCompress"/>
  <w:compat/>
  <w:rsids>
    <w:rsidRoot w:val="00130801"/>
    <w:rsid w:val="00130801"/>
    <w:rsid w:val="0030179E"/>
    <w:rsid w:val="0033151D"/>
    <w:rsid w:val="003E0320"/>
    <w:rsid w:val="00405BA5"/>
    <w:rsid w:val="00407060"/>
    <w:rsid w:val="004E7B8F"/>
    <w:rsid w:val="00543F4E"/>
    <w:rsid w:val="00596BF4"/>
    <w:rsid w:val="007E62E3"/>
    <w:rsid w:val="008C5E77"/>
    <w:rsid w:val="00B616E0"/>
    <w:rsid w:val="00F27660"/>
    <w:rsid w:val="00F2772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1A51"/>
    <w:pPr>
      <w:widowControl w:val="0"/>
      <w:spacing w:after="100" w:line="259" w:lineRule="auto"/>
    </w:pPr>
    <w:rPr>
      <w:rFonts w:ascii="Arial" w:eastAsia="Times New Roman" w:hAnsi="Arial" w:cs="Times New Roman"/>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qFormat/>
    <w:rsid w:val="00130801"/>
    <w:pPr>
      <w:keepNext/>
      <w:spacing w:after="200" w:line="276" w:lineRule="auto"/>
    </w:pPr>
    <w:rPr>
      <w:rFonts w:ascii="Arial" w:eastAsia="Calibri" w:hAnsi="Arial"/>
      <w:b/>
      <w:color w:val="1F4E79"/>
      <w:sz w:val="32"/>
    </w:rPr>
  </w:style>
  <w:style w:type="paragraph" w:customStyle="1" w:styleId="Heading21">
    <w:name w:val="Heading 21"/>
    <w:qFormat/>
    <w:rsid w:val="00130801"/>
    <w:pPr>
      <w:keepNext/>
      <w:spacing w:before="240" w:after="100" w:line="276" w:lineRule="auto"/>
    </w:pPr>
    <w:rPr>
      <w:rFonts w:ascii="Arial" w:eastAsia="Calibri" w:hAnsi="Arial"/>
      <w:b/>
      <w:color w:val="1F4E79"/>
      <w:sz w:val="26"/>
    </w:rPr>
  </w:style>
  <w:style w:type="paragraph" w:customStyle="1" w:styleId="Heading31">
    <w:name w:val="Heading 31"/>
    <w:qFormat/>
    <w:rsid w:val="00130801"/>
    <w:pPr>
      <w:keepNext/>
      <w:spacing w:before="200" w:after="80" w:line="276" w:lineRule="auto"/>
    </w:pPr>
    <w:rPr>
      <w:rFonts w:ascii="Arial" w:eastAsia="Calibri" w:hAnsi="Arial"/>
      <w:b/>
      <w:color w:val="1F4E79"/>
      <w:sz w:val="23"/>
    </w:rPr>
  </w:style>
  <w:style w:type="paragraph" w:customStyle="1" w:styleId="Heading41">
    <w:name w:val="Heading 41"/>
    <w:qFormat/>
    <w:rsid w:val="00130801"/>
    <w:pPr>
      <w:keepNext/>
      <w:spacing w:before="120" w:after="40" w:line="276" w:lineRule="auto"/>
    </w:pPr>
    <w:rPr>
      <w:rFonts w:ascii="Arial" w:eastAsia="Calibri" w:hAnsi="Arial"/>
      <w:b/>
      <w:color w:val="1F4E79"/>
      <w:sz w:val="21"/>
    </w:rPr>
  </w:style>
  <w:style w:type="character" w:customStyle="1" w:styleId="BalloonTextChar">
    <w:name w:val="Balloon Text Char"/>
    <w:basedOn w:val="DefaultParagraphFont"/>
    <w:link w:val="BalloonText"/>
    <w:uiPriority w:val="99"/>
    <w:semiHidden/>
    <w:qFormat/>
    <w:rsid w:val="00021A51"/>
    <w:rPr>
      <w:rFonts w:ascii="Tahoma" w:eastAsia="Times New Roman" w:hAnsi="Tahoma" w:cs="Tahoma"/>
      <w:sz w:val="16"/>
      <w:szCs w:val="16"/>
    </w:rPr>
  </w:style>
  <w:style w:type="paragraph" w:customStyle="1" w:styleId="Heading">
    <w:name w:val="Heading"/>
    <w:basedOn w:val="Normal"/>
    <w:next w:val="BodyText"/>
    <w:qFormat/>
    <w:rsid w:val="00130801"/>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130801"/>
    <w:pPr>
      <w:spacing w:after="140" w:line="276" w:lineRule="auto"/>
    </w:pPr>
  </w:style>
  <w:style w:type="paragraph" w:styleId="List">
    <w:name w:val="List"/>
    <w:basedOn w:val="BodyText"/>
    <w:rsid w:val="00130801"/>
    <w:rPr>
      <w:rFonts w:cs="Arial Unicode MS"/>
    </w:rPr>
  </w:style>
  <w:style w:type="paragraph" w:customStyle="1" w:styleId="Caption1">
    <w:name w:val="Caption1"/>
    <w:qFormat/>
    <w:rsid w:val="00130801"/>
    <w:pPr>
      <w:spacing w:before="60" w:after="160" w:line="276" w:lineRule="auto"/>
    </w:pPr>
    <w:rPr>
      <w:rFonts w:ascii="Arial" w:eastAsia="Calibri" w:hAnsi="Arial"/>
      <w:i/>
      <w:color w:val="464646"/>
      <w:sz w:val="18"/>
    </w:rPr>
  </w:style>
  <w:style w:type="paragraph" w:customStyle="1" w:styleId="Index">
    <w:name w:val="Index"/>
    <w:basedOn w:val="Normal"/>
    <w:qFormat/>
    <w:rsid w:val="00130801"/>
    <w:pPr>
      <w:suppressLineNumbers/>
    </w:pPr>
    <w:rPr>
      <w:rFonts w:cs="Arial Unicode MS"/>
    </w:rPr>
  </w:style>
  <w:style w:type="paragraph" w:styleId="ListParagraph">
    <w:name w:val="List Paragraph"/>
    <w:basedOn w:val="Normal"/>
    <w:uiPriority w:val="34"/>
    <w:qFormat/>
    <w:rsid w:val="00021A51"/>
    <w:pPr>
      <w:spacing w:after="40"/>
      <w:ind w:left="312" w:hanging="142"/>
    </w:pPr>
  </w:style>
  <w:style w:type="paragraph" w:styleId="BalloonText">
    <w:name w:val="Balloon Text"/>
    <w:basedOn w:val="Normal"/>
    <w:link w:val="BalloonTextChar"/>
    <w:uiPriority w:val="99"/>
    <w:semiHidden/>
    <w:unhideWhenUsed/>
    <w:qFormat/>
    <w:rsid w:val="00021A51"/>
    <w:rPr>
      <w:rFonts w:ascii="Tahoma" w:hAnsi="Tahoma" w:cs="Tahoma"/>
      <w:sz w:val="16"/>
      <w:szCs w:val="16"/>
    </w:rPr>
  </w:style>
  <w:style w:type="paragraph" w:customStyle="1" w:styleId="Title1">
    <w:name w:val="Title1"/>
    <w:qFormat/>
    <w:rsid w:val="00130801"/>
    <w:pPr>
      <w:keepNext/>
      <w:spacing w:after="240" w:line="276" w:lineRule="auto"/>
    </w:pPr>
    <w:rPr>
      <w:rFonts w:ascii="Arial" w:eastAsia="Calibri" w:hAnsi="Arial"/>
      <w:b/>
      <w:color w:val="1F4E79"/>
      <w:sz w:val="36"/>
    </w:rPr>
  </w:style>
  <w:style w:type="paragraph" w:customStyle="1" w:styleId="ListNumber1">
    <w:name w:val="List Number1"/>
    <w:rsid w:val="00130801"/>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9</cp:revision>
  <dcterms:created xsi:type="dcterms:W3CDTF">2026-07-21T19:52:00Z</dcterms:created>
  <dcterms:modified xsi:type="dcterms:W3CDTF">2026-07-22T08:10:00Z</dcterms:modified>
</cp:coreProperties>
</file>