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420C" w:rsidRDefault="0080420C" w:rsidP="0080420C">
      <w:pPr>
        <w:pStyle w:val="Heading1"/>
      </w:pPr>
      <w:r>
        <w:rPr>
          <w:rFonts w:ascii="Arial" w:hAnsi="Arial"/>
        </w:rPr>
        <w:t>5. Candidate Tools and Software Packages</w:t>
      </w:r>
    </w:p>
    <w:p w:rsidR="0080420C" w:rsidRDefault="0080420C" w:rsidP="0080420C">
      <w:pPr>
        <w:pStyle w:val="Heading2"/>
      </w:pPr>
      <w:r>
        <w:rPr>
          <w:rFonts w:ascii="Arial" w:hAnsi="Arial"/>
        </w:rPr>
        <w:t>5.1 Purpose and status</w:t>
      </w:r>
    </w:p>
    <w:p w:rsidR="0080420C" w:rsidRDefault="0080420C" w:rsidP="0080420C">
      <w:pPr>
        <w:jc w:val="both"/>
      </w:pPr>
      <w:r>
        <w:t>This section identifies software tools, frameworks and platforms that may support the domain and system use cases. All products are candidates for evaluation. Their inclusion does not mean that they will all be deployed or that the first-listed option has been selected. Final choices depend on validated requirements, proofs of concept, consultation with infrastructure operators, security and compliance review, interoperability and long-term operational sustainability.</w:t>
      </w:r>
    </w:p>
    <w:p w:rsidR="0080420C" w:rsidRDefault="0080420C" w:rsidP="0080420C">
      <w:pPr>
        <w:jc w:val="both"/>
      </w:pPr>
      <w:r>
        <w:rPr>
          <w:b/>
          <w:color w:val="1F4E79"/>
        </w:rPr>
        <w:t xml:space="preserve">Design principle: </w:t>
      </w:r>
      <w:r>
        <w:rPr>
          <w:i/>
        </w:rPr>
        <w:t>reuse before build, integrate before replace, and develop custom software only where SAIFA-specific value is required.</w:t>
      </w:r>
    </w:p>
    <w:p w:rsidR="0080420C" w:rsidRDefault="0080420C" w:rsidP="0080420C">
      <w:pPr>
        <w:jc w:val="both"/>
      </w:pPr>
      <w:r>
        <w:t>Custom development should focus on the unified portal and user experience, the canonical metadata model, common authorisation and resource-allocation rules, audit and accounting, the HPC bridge, federation adapters, and the connection between domain workflows and horizontal services.</w:t>
      </w:r>
    </w:p>
    <w:p w:rsidR="0080420C" w:rsidRDefault="0080420C" w:rsidP="0080420C">
      <w:pPr>
        <w:pStyle w:val="Heading2"/>
      </w:pPr>
      <w:r>
        <w:rPr>
          <w:rFonts w:ascii="Arial" w:hAnsi="Arial"/>
        </w:rPr>
        <w:t>5.2 Reusable components and SAIFA-specific integration</w:t>
      </w:r>
    </w:p>
    <w:p w:rsidR="0080420C" w:rsidRDefault="0080420C" w:rsidP="0080420C">
      <w:pPr>
        <w:jc w:val="both"/>
      </w:pPr>
      <w:r>
        <w:t>Table 5.1 records the leading candidates and alternatives for each layer, together with the integration responsibility retained by SAIFA. The table is an evaluation baseline, not a final architecture.</w:t>
      </w:r>
    </w:p>
    <w:tbl>
      <w:tblPr>
        <w:tblW w:w="15024" w:type="dxa"/>
        <w:jc w:val="center"/>
        <w:tblLayout w:type="fixed"/>
        <w:tblCellMar>
          <w:top w:w="95" w:type="dxa"/>
          <w:left w:w="95" w:type="dxa"/>
          <w:bottom w:w="95" w:type="dxa"/>
          <w:right w:w="95" w:type="dxa"/>
        </w:tblCellMar>
        <w:tblLook w:val="04A0"/>
      </w:tblPr>
      <w:tblGrid>
        <w:gridCol w:w="5008"/>
        <w:gridCol w:w="5008"/>
        <w:gridCol w:w="5008"/>
      </w:tblGrid>
      <w:tr w:rsidR="0080420C" w:rsidTr="00263269">
        <w:trPr>
          <w:cantSplit/>
          <w:tblHeader/>
          <w:jc w:val="center"/>
        </w:trPr>
        <w:tc>
          <w:tcPr>
            <w:tcW w:w="5008" w:type="dxa"/>
            <w:tcBorders>
              <w:top w:val="single" w:sz="4" w:space="0" w:color="A6A6A6"/>
              <w:left w:val="single" w:sz="4" w:space="0" w:color="A6A6A6"/>
              <w:bottom w:val="single" w:sz="4" w:space="0" w:color="A6A6A6"/>
              <w:right w:val="single" w:sz="4" w:space="0" w:color="A6A6A6"/>
            </w:tcBorders>
            <w:shd w:val="clear" w:color="auto" w:fill="D9EAF7"/>
            <w:vAlign w:val="center"/>
          </w:tcPr>
          <w:p w:rsidR="0080420C" w:rsidRDefault="0080420C" w:rsidP="00263269">
            <w:pPr>
              <w:spacing w:after="0" w:line="240" w:lineRule="auto"/>
              <w:jc w:val="center"/>
            </w:pPr>
            <w:r>
              <w:rPr>
                <w:b/>
                <w:color w:val="1F4E79"/>
                <w:sz w:val="17"/>
              </w:rPr>
              <w:t>Layer or need</w:t>
            </w:r>
          </w:p>
        </w:tc>
        <w:tc>
          <w:tcPr>
            <w:tcW w:w="5008" w:type="dxa"/>
            <w:tcBorders>
              <w:top w:val="single" w:sz="4" w:space="0" w:color="A6A6A6"/>
              <w:left w:val="single" w:sz="4" w:space="0" w:color="A6A6A6"/>
              <w:bottom w:val="single" w:sz="4" w:space="0" w:color="A6A6A6"/>
              <w:right w:val="single" w:sz="4" w:space="0" w:color="A6A6A6"/>
            </w:tcBorders>
            <w:shd w:val="clear" w:color="auto" w:fill="D9EAF7"/>
            <w:vAlign w:val="center"/>
          </w:tcPr>
          <w:p w:rsidR="0080420C" w:rsidRDefault="0080420C" w:rsidP="00263269">
            <w:pPr>
              <w:spacing w:after="0" w:line="240" w:lineRule="auto"/>
              <w:jc w:val="center"/>
            </w:pPr>
            <w:r>
              <w:rPr>
                <w:b/>
                <w:color w:val="1F4E79"/>
                <w:sz w:val="17"/>
              </w:rPr>
              <w:t>Candidate component(s)</w:t>
            </w:r>
          </w:p>
        </w:tc>
        <w:tc>
          <w:tcPr>
            <w:tcW w:w="5008" w:type="dxa"/>
            <w:tcBorders>
              <w:top w:val="single" w:sz="4" w:space="0" w:color="A6A6A6"/>
              <w:left w:val="single" w:sz="4" w:space="0" w:color="A6A6A6"/>
              <w:bottom w:val="single" w:sz="4" w:space="0" w:color="A6A6A6"/>
              <w:right w:val="single" w:sz="4" w:space="0" w:color="A6A6A6"/>
            </w:tcBorders>
            <w:shd w:val="clear" w:color="auto" w:fill="D9EAF7"/>
            <w:vAlign w:val="center"/>
          </w:tcPr>
          <w:p w:rsidR="0080420C" w:rsidRDefault="0080420C" w:rsidP="00263269">
            <w:pPr>
              <w:spacing w:after="0" w:line="240" w:lineRule="auto"/>
              <w:jc w:val="center"/>
            </w:pPr>
            <w:r>
              <w:rPr>
                <w:b/>
                <w:color w:val="1F4E79"/>
                <w:sz w:val="17"/>
              </w:rPr>
              <w:t>SAIFA-specific integration</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Portal and UX</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Next.js/React (Nuxt/Vue)</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SAIFA UI, BFF, tool integration</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Identity and SSO</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Keycloak (authentik, WSO2 IS)</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role mapping, ABAC, account linking</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Access policies</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Open Policy Agent (Casbin, Cedar)</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SAIFA RBAC/ABAC model</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Courses (LMS)</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Moodle (Open edX)</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link to portal, quotas and lab exercises</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Notebooks and IDE</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JupyterHub + KubeSpawner (SlurmSpawner, code-server, JupyterLite)</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launch from portal, quotas, dataset mount, audit</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Dataset catalogue</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service-catalogue/marketplace alternative: Waldur | CKAN or Dataverse (DataHub, OpenMetadata)</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unified catalogue, ACL, federation adapters</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Search</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OpenSearch + pgvector (PostgreSQL FTS, Qdrant)</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shared index and ACL filtering</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Model registry and experiments</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MLflow (ClearML, Aim, W&amp;B)</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model cards, approval, catalogue, access rights</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LLM inference</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vLLM (TGI, SGLang, Triton)</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API proxy, quotas, routing, audit</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Model serving orchestration</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KServe (Ray Serve, BentoML)</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serving profiles and deployment rules</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Fine-tuning and training</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Hugging Face TRL/PEFT (Axolotl, LLaMA-Factory)</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approved templates, HPC submit, result registration</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HPC jobs</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allocation/accounting: Waldur | SLURM on existing clusters; Open OnDemand as a complement</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HPC bridge and a unified job model</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lastRenderedPageBreak/>
              <w:t>Kubernetes / batch</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Kubernetes Jobs (Volcano, Kueue)</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routing between Kubernetes and SLURM</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Workflows</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Argo Workflows (Airflow, Flyte, Kubeflow)</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simple SAIFA workflow templates</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Containers</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Harbor + Trivy + BuildKit/Buildah; Apptainer on HPC (Quay, Kaniko)</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image approval and HPC conversion</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Storage</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PostgreSQL (source of truth), S3 (MinIO/Ceph) for objects, Valkey/Redis for cache</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SAIFA domains, metadata links, lifecycle</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Observability</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Prometheus + Grafana + Loki + OpenTelemetry</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SAIFA dashboards and correlation with user/job</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Audit</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append-only (PostgreSQL/OpenSearch) + WORM archive (immudb)</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shared audit events and policy</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Secrets</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HashiCorp Vault / OpenBao</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access policies, rotation, HPC SSH certificates</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Notifications and status</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Novu/Gotify + email; Uptime Kuma for status</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events, preferences, public SAIFA status</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Ticketing</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Zammad or GLPI (GitLab Issues for PoC)</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portal button and context from the audit log</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Collaboration and code</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GitLab CE (Gitea/Forgejo) + Nextcloud</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rights over SAIFA resources and repo-workflow linkage</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Benchmarking and quality</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lm-evaluation-harness + Great Expectations</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SAIFA benchmark definitions, leaderboard, rules</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Lineage</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OpenLineage + Marquez (DataHub)</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linking job-dataset-model-result</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Federation</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cross-site allocation: Waldur marketplace | DCAT/DCAT-AP + custom adapters (CKAN Harvester)</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Pharos/IT4LIA adapters and schema mapping</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Quota and accounting</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own simple model (Waldur)</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portal, reservations, unified accounting per factory</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BI and reporting</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Grafana -&gt; Superset/Metabase</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SAIFA metrics and permissions</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CI/CD and GitOps</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GitLab CI + Argo CD (Flux, Tekton)</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SAIFA pipelines and cluster configuration</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Backup and DR</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Velero + PostgreSQL backup + replication</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RPO/RTO policies and restore tests</w:t>
            </w:r>
          </w:p>
        </w:tc>
      </w:tr>
    </w:tbl>
    <w:p w:rsidR="0080420C" w:rsidRDefault="0080420C" w:rsidP="0080420C">
      <w:pPr>
        <w:pStyle w:val="Caption"/>
        <w:jc w:val="center"/>
      </w:pPr>
      <w:r>
        <w:t>Table 5.1. Candidate components and the corresponding SAIFA-specific integration.</w:t>
      </w:r>
    </w:p>
    <w:p w:rsidR="0080420C" w:rsidRDefault="0080420C" w:rsidP="0080420C">
      <w:pPr>
        <w:pStyle w:val="Heading2"/>
      </w:pPr>
      <w:r>
        <w:rPr>
          <w:rFonts w:ascii="Arial" w:hAnsi="Arial"/>
        </w:rPr>
        <w:t>5.3 Cross-layer candidate and proof-of-concept baseline</w:t>
      </w:r>
    </w:p>
    <w:p w:rsidR="0080420C" w:rsidRDefault="0080420C" w:rsidP="0080420C">
      <w:pPr>
        <w:jc w:val="both"/>
      </w:pPr>
      <w:r>
        <w:t>Waldur is a cross-layer candidate because it may cover service cataloguing, organisation and project allocations, accounting, and HPC resource provisioning through one platform. It should be evaluated against a simpler combination of specialised components; adoption in one layer must not automatically determine its use in the others.</w:t>
      </w:r>
    </w:p>
    <w:p w:rsidR="0080420C" w:rsidRDefault="0080420C" w:rsidP="0080420C">
      <w:pPr>
        <w:jc w:val="both"/>
      </w:pPr>
      <w:r>
        <w:lastRenderedPageBreak/>
        <w:t>A practical proof-of-concept baseline is a web portal; federated identity; a policy or backend authorisation module; PostgreSQL and S3-compatible object storage; JupyterHub for notebooks; a managed inference service; SLURM integration through an isolated bridge; and Prometheus/Grafana-based observability. For every component, the proof of concept must show the source of truth, identity propagation, resource charging, audit recording, access-control enforcement and behaviour during dependency failure.</w:t>
      </w:r>
    </w:p>
    <w:p w:rsidR="0080420C" w:rsidRDefault="0080420C" w:rsidP="0080420C">
      <w:pPr>
        <w:pStyle w:val="Heading2"/>
      </w:pPr>
      <w:r>
        <w:rPr>
          <w:rFonts w:ascii="Arial" w:hAnsi="Arial"/>
        </w:rPr>
        <w:t>5.4 Technology-selection criteria</w:t>
      </w:r>
    </w:p>
    <w:p w:rsidR="0080420C" w:rsidRDefault="0080420C" w:rsidP="0080420C">
      <w:pPr>
        <w:jc w:val="both"/>
      </w:pPr>
      <w:r>
        <w:t>Selection uses two steps. A candidate must first pass the mandatory criteria for its technology domain. Candidates that pass are then compared using the weighted criteria in Table 5.2.</w:t>
      </w:r>
    </w:p>
    <w:tbl>
      <w:tblPr>
        <w:tblW w:w="15024" w:type="dxa"/>
        <w:jc w:val="center"/>
        <w:tblLayout w:type="fixed"/>
        <w:tblCellMar>
          <w:top w:w="95" w:type="dxa"/>
          <w:left w:w="95" w:type="dxa"/>
          <w:bottom w:w="95" w:type="dxa"/>
          <w:right w:w="95" w:type="dxa"/>
        </w:tblCellMar>
        <w:tblLook w:val="04A0"/>
      </w:tblPr>
      <w:tblGrid>
        <w:gridCol w:w="5008"/>
        <w:gridCol w:w="5008"/>
        <w:gridCol w:w="5008"/>
      </w:tblGrid>
      <w:tr w:rsidR="0080420C" w:rsidTr="00263269">
        <w:trPr>
          <w:cantSplit/>
          <w:tblHeader/>
          <w:jc w:val="center"/>
        </w:trPr>
        <w:tc>
          <w:tcPr>
            <w:tcW w:w="5008" w:type="dxa"/>
            <w:tcBorders>
              <w:top w:val="single" w:sz="4" w:space="0" w:color="A6A6A6"/>
              <w:left w:val="single" w:sz="4" w:space="0" w:color="A6A6A6"/>
              <w:bottom w:val="single" w:sz="4" w:space="0" w:color="A6A6A6"/>
              <w:right w:val="single" w:sz="4" w:space="0" w:color="A6A6A6"/>
            </w:tcBorders>
            <w:shd w:val="clear" w:color="auto" w:fill="D9EAF7"/>
            <w:vAlign w:val="center"/>
          </w:tcPr>
          <w:p w:rsidR="0080420C" w:rsidRDefault="0080420C" w:rsidP="00263269">
            <w:pPr>
              <w:spacing w:after="0" w:line="240" w:lineRule="auto"/>
              <w:jc w:val="center"/>
            </w:pPr>
            <w:r>
              <w:rPr>
                <w:b/>
                <w:color w:val="1F4E79"/>
                <w:sz w:val="18"/>
              </w:rPr>
              <w:t>ID</w:t>
            </w:r>
          </w:p>
        </w:tc>
        <w:tc>
          <w:tcPr>
            <w:tcW w:w="5008" w:type="dxa"/>
            <w:tcBorders>
              <w:top w:val="single" w:sz="4" w:space="0" w:color="A6A6A6"/>
              <w:left w:val="single" w:sz="4" w:space="0" w:color="A6A6A6"/>
              <w:bottom w:val="single" w:sz="4" w:space="0" w:color="A6A6A6"/>
              <w:right w:val="single" w:sz="4" w:space="0" w:color="A6A6A6"/>
            </w:tcBorders>
            <w:shd w:val="clear" w:color="auto" w:fill="D9EAF7"/>
            <w:vAlign w:val="center"/>
          </w:tcPr>
          <w:p w:rsidR="0080420C" w:rsidRDefault="0080420C" w:rsidP="00263269">
            <w:pPr>
              <w:spacing w:after="0" w:line="240" w:lineRule="auto"/>
              <w:jc w:val="center"/>
            </w:pPr>
            <w:r>
              <w:rPr>
                <w:b/>
                <w:color w:val="1F4E79"/>
                <w:sz w:val="18"/>
              </w:rPr>
              <w:t>Criterion</w:t>
            </w:r>
          </w:p>
        </w:tc>
        <w:tc>
          <w:tcPr>
            <w:tcW w:w="5008" w:type="dxa"/>
            <w:tcBorders>
              <w:top w:val="single" w:sz="4" w:space="0" w:color="A6A6A6"/>
              <w:left w:val="single" w:sz="4" w:space="0" w:color="A6A6A6"/>
              <w:bottom w:val="single" w:sz="4" w:space="0" w:color="A6A6A6"/>
              <w:right w:val="single" w:sz="4" w:space="0" w:color="A6A6A6"/>
            </w:tcBorders>
            <w:shd w:val="clear" w:color="auto" w:fill="D9EAF7"/>
            <w:vAlign w:val="center"/>
          </w:tcPr>
          <w:p w:rsidR="0080420C" w:rsidRDefault="0080420C" w:rsidP="00263269">
            <w:pPr>
              <w:spacing w:after="0" w:line="240" w:lineRule="auto"/>
              <w:jc w:val="center"/>
            </w:pPr>
            <w:r>
              <w:rPr>
                <w:b/>
                <w:color w:val="1F4E79"/>
                <w:sz w:val="18"/>
              </w:rPr>
              <w:t>Assessment focus</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8"/>
              </w:rPr>
              <w:t>C1</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8"/>
              </w:rPr>
              <w:t>User experience</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8"/>
              </w:rPr>
              <w:t>Usability of the resulting capability, especially for non-technical users (sector experts, students, SME users).</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8"/>
              </w:rPr>
              <w:t>C2</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8"/>
              </w:rPr>
              <w:t>Integration effort</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8"/>
              </w:rPr>
              <w:t>How much custom code and glue is needed to place the component behind the unified portal, identity, quota and audit.</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8"/>
              </w:rPr>
              <w:t>C3</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8"/>
              </w:rPr>
              <w:t>Operational complexity</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8"/>
              </w:rPr>
              <w:t>Day-2 cost: deployment, upgrades, scaling, backup/restore and the on-call burden for a small team.</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8"/>
              </w:rPr>
              <w:t>C4</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8"/>
              </w:rPr>
              <w:t>Performance and cost</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8"/>
              </w:rPr>
              <w:t>Throughput/latency under load and the compute, GPU and storage cost of running the component at national scale.</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8"/>
              </w:rPr>
              <w:t>C5</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8"/>
              </w:rPr>
              <w:t>Maturity and community</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8"/>
              </w:rPr>
              <w:t>Release cadence, community size, documentation quality and long-term maintenance outlook.</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8"/>
              </w:rPr>
              <w:t>C6</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8"/>
              </w:rPr>
              <w:t>Compliance</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8"/>
              </w:rPr>
              <w:t>GDPR alignment, data sovereignty, self-hosting options, licensing and procurement implications.</w:t>
            </w:r>
          </w:p>
        </w:tc>
      </w:tr>
    </w:tbl>
    <w:p w:rsidR="0080420C" w:rsidRDefault="0080420C" w:rsidP="0080420C">
      <w:pPr>
        <w:pStyle w:val="Caption"/>
        <w:jc w:val="center"/>
      </w:pPr>
      <w:r>
        <w:t>Table 5.2. Comparative technology-selection criteria.</w:t>
      </w:r>
    </w:p>
    <w:p w:rsidR="0080420C" w:rsidRDefault="0080420C" w:rsidP="0080420C">
      <w:pPr>
        <w:jc w:val="both"/>
      </w:pPr>
      <w:r>
        <w:t>The principal domains and example mandatory criteria are summarised in Table 5.3. Detailed test questions should be maintained in the technology-selection specification and executed during the proofs of concept.</w:t>
      </w:r>
    </w:p>
    <w:tbl>
      <w:tblPr>
        <w:tblW w:w="15024" w:type="dxa"/>
        <w:jc w:val="center"/>
        <w:tblLayout w:type="fixed"/>
        <w:tblCellMar>
          <w:top w:w="95" w:type="dxa"/>
          <w:left w:w="95" w:type="dxa"/>
          <w:bottom w:w="95" w:type="dxa"/>
          <w:right w:w="95" w:type="dxa"/>
        </w:tblCellMar>
        <w:tblLook w:val="04A0"/>
      </w:tblPr>
      <w:tblGrid>
        <w:gridCol w:w="5008"/>
        <w:gridCol w:w="5008"/>
        <w:gridCol w:w="5008"/>
      </w:tblGrid>
      <w:tr w:rsidR="0080420C" w:rsidTr="00263269">
        <w:trPr>
          <w:cantSplit/>
          <w:tblHeader/>
          <w:jc w:val="center"/>
        </w:trPr>
        <w:tc>
          <w:tcPr>
            <w:tcW w:w="5008" w:type="dxa"/>
            <w:tcBorders>
              <w:top w:val="single" w:sz="4" w:space="0" w:color="A6A6A6"/>
              <w:left w:val="single" w:sz="4" w:space="0" w:color="A6A6A6"/>
              <w:bottom w:val="single" w:sz="4" w:space="0" w:color="A6A6A6"/>
              <w:right w:val="single" w:sz="4" w:space="0" w:color="A6A6A6"/>
            </w:tcBorders>
            <w:shd w:val="clear" w:color="auto" w:fill="D9EAF7"/>
            <w:vAlign w:val="center"/>
          </w:tcPr>
          <w:p w:rsidR="0080420C" w:rsidRDefault="0080420C" w:rsidP="00263269">
            <w:pPr>
              <w:spacing w:after="0" w:line="240" w:lineRule="auto"/>
              <w:jc w:val="center"/>
            </w:pPr>
            <w:r>
              <w:rPr>
                <w:b/>
                <w:color w:val="1F4E79"/>
                <w:sz w:val="17"/>
              </w:rPr>
              <w:t>Domain</w:t>
            </w:r>
          </w:p>
        </w:tc>
        <w:tc>
          <w:tcPr>
            <w:tcW w:w="5008" w:type="dxa"/>
            <w:tcBorders>
              <w:top w:val="single" w:sz="4" w:space="0" w:color="A6A6A6"/>
              <w:left w:val="single" w:sz="4" w:space="0" w:color="A6A6A6"/>
              <w:bottom w:val="single" w:sz="4" w:space="0" w:color="A6A6A6"/>
              <w:right w:val="single" w:sz="4" w:space="0" w:color="A6A6A6"/>
            </w:tcBorders>
            <w:shd w:val="clear" w:color="auto" w:fill="D9EAF7"/>
            <w:vAlign w:val="center"/>
          </w:tcPr>
          <w:p w:rsidR="0080420C" w:rsidRDefault="0080420C" w:rsidP="00263269">
            <w:pPr>
              <w:spacing w:after="0" w:line="240" w:lineRule="auto"/>
              <w:jc w:val="center"/>
            </w:pPr>
            <w:r>
              <w:rPr>
                <w:b/>
                <w:color w:val="1F4E79"/>
                <w:sz w:val="17"/>
              </w:rPr>
              <w:t>Scope</w:t>
            </w:r>
          </w:p>
        </w:tc>
        <w:tc>
          <w:tcPr>
            <w:tcW w:w="5008" w:type="dxa"/>
            <w:tcBorders>
              <w:top w:val="single" w:sz="4" w:space="0" w:color="A6A6A6"/>
              <w:left w:val="single" w:sz="4" w:space="0" w:color="A6A6A6"/>
              <w:bottom w:val="single" w:sz="4" w:space="0" w:color="A6A6A6"/>
              <w:right w:val="single" w:sz="4" w:space="0" w:color="A6A6A6"/>
            </w:tcBorders>
            <w:shd w:val="clear" w:color="auto" w:fill="D9EAF7"/>
            <w:vAlign w:val="center"/>
          </w:tcPr>
          <w:p w:rsidR="0080420C" w:rsidRDefault="0080420C" w:rsidP="00263269">
            <w:pPr>
              <w:spacing w:after="0" w:line="240" w:lineRule="auto"/>
              <w:jc w:val="center"/>
            </w:pPr>
            <w:r>
              <w:rPr>
                <w:b/>
                <w:color w:val="1F4E79"/>
                <w:sz w:val="17"/>
              </w:rPr>
              <w:t>Example mandatory criterion</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1. Authentication and access control</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login (local/institutional/EuroHPC), API keys, RBAC/ABAC, session revocation, service-to-service auth</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A1 (federation over SAML2 and OIDC to one identity); A3 (immediate revocation)</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2. Resource catalogue</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discovery, publication, moderation, search with ACL/ABAC</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K1 (ACL/ABAC filter at the index level)</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3. Inference serving</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serving runtime behind the gateway, quotas/rate limits</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I1 (runtime behind the gateway); I4 (quota charged before execution)</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lastRenderedPageBreak/>
              <w:t>4. HPC orchestration</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job submission/monitoring, SLURM abstraction, quota reservation</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H1 (SSH+sbatch); H2 (SLURM abstracted); H4 (quota before occupation)</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5. Storage</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object store behind API, resumable transfer, integrity, immutable versions</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S1, S2, S5, S7</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6. Experiment tracking</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metric logging from cluster jobs, reproducibility</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E1 (logging over a partially isolated connection); E6 (reproducibility)</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7. Education</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LMS behind API, locked templates, read-only data</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D1-D7</w:t>
            </w:r>
          </w:p>
        </w:tc>
      </w:tr>
      <w:tr w:rsidR="0080420C" w:rsidTr="00263269">
        <w:trPr>
          <w:cantSplit/>
          <w:jc w:val="center"/>
        </w:trPr>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jc w:val="center"/>
            </w:pPr>
            <w:r>
              <w:rPr>
                <w:sz w:val="17"/>
              </w:rPr>
              <w:t>8. Federation</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CatalogueSource abstraction, provenance</w:t>
            </w:r>
          </w:p>
        </w:tc>
        <w:tc>
          <w:tcPr>
            <w:tcW w:w="5008" w:type="dxa"/>
            <w:tcBorders>
              <w:top w:val="single" w:sz="4" w:space="0" w:color="A6A6A6"/>
              <w:left w:val="single" w:sz="4" w:space="0" w:color="A6A6A6"/>
              <w:bottom w:val="single" w:sz="4" w:space="0" w:color="A6A6A6"/>
              <w:right w:val="single" w:sz="4" w:space="0" w:color="A6A6A6"/>
            </w:tcBorders>
            <w:vAlign w:val="center"/>
          </w:tcPr>
          <w:p w:rsidR="0080420C" w:rsidRDefault="0080420C" w:rsidP="00263269">
            <w:pPr>
              <w:spacing w:after="0" w:line="240" w:lineRule="auto"/>
            </w:pPr>
            <w:r>
              <w:rPr>
                <w:sz w:val="17"/>
              </w:rPr>
              <w:t>F1 (new partner = new adapter); F2 (provenance, no overwrite)</w:t>
            </w:r>
          </w:p>
        </w:tc>
      </w:tr>
    </w:tbl>
    <w:p w:rsidR="0080420C" w:rsidRDefault="0080420C" w:rsidP="0080420C">
      <w:pPr>
        <w:pStyle w:val="Caption"/>
        <w:jc w:val="center"/>
      </w:pPr>
      <w:r>
        <w:t>Table 5.3. Technology domains and examples of mandatory criteria.</w:t>
      </w:r>
    </w:p>
    <w:p w:rsidR="0080420C" w:rsidRDefault="0080420C" w:rsidP="0080420C">
      <w:pPr>
        <w:pStyle w:val="Heading2"/>
      </w:pPr>
      <w:r>
        <w:rPr>
          <w:rFonts w:ascii="Arial" w:hAnsi="Arial"/>
        </w:rPr>
        <w:t>5.5 Licensing and procurement</w:t>
      </w:r>
    </w:p>
    <w:p w:rsidR="0080420C" w:rsidRDefault="0080420C" w:rsidP="0080420C">
      <w:pPr>
        <w:jc w:val="both"/>
      </w:pPr>
      <w:r>
        <w:t>Licensing is part of the selection decision and must be checked for the exact product version and deployment model used in each proof of concept. The following rules apply:</w:t>
      </w:r>
    </w:p>
    <w:p w:rsidR="0080420C" w:rsidRDefault="0080420C" w:rsidP="0080420C">
      <w:pPr>
        <w:pStyle w:val="ListParagraph"/>
      </w:pPr>
      <w:r>
        <w:rPr>
          <w:b/>
        </w:rPr>
        <w:t xml:space="preserve">• </w:t>
      </w:r>
      <w:r>
        <w:t>Prefer OSI-approved and self-hostable components where they meet the functional and operational requirements.</w:t>
      </w:r>
    </w:p>
    <w:p w:rsidR="0080420C" w:rsidRDefault="0080420C" w:rsidP="0080420C">
      <w:pPr>
        <w:pStyle w:val="ListParagraph"/>
      </w:pPr>
      <w:r>
        <w:rPr>
          <w:b/>
        </w:rPr>
        <w:t xml:space="preserve">• </w:t>
      </w:r>
      <w:r>
        <w:t>Treat network-copyleft, source-available and proprietary products as explicit review items and document the operational and distribution obligations.</w:t>
      </w:r>
    </w:p>
    <w:p w:rsidR="0080420C" w:rsidRDefault="0080420C" w:rsidP="0080420C">
      <w:pPr>
        <w:pStyle w:val="ListParagraph"/>
      </w:pPr>
      <w:r>
        <w:rPr>
          <w:b/>
        </w:rPr>
        <w:t xml:space="preserve">• </w:t>
      </w:r>
      <w:r>
        <w:t>Prefer open alternatives such as OpenBao and Valkey when equivalent source-available options create avoidable restrictions.</w:t>
      </w:r>
    </w:p>
    <w:p w:rsidR="0080420C" w:rsidRDefault="0080420C" w:rsidP="0080420C">
      <w:pPr>
        <w:pStyle w:val="ListParagraph"/>
      </w:pPr>
      <w:r>
        <w:rPr>
          <w:b/>
        </w:rPr>
        <w:t xml:space="preserve">• </w:t>
      </w:r>
      <w:r>
        <w:t>Record any paid licence, subscription or cloud dependency as a procurement item with an owner and an exit option.</w:t>
      </w:r>
    </w:p>
    <w:p w:rsidR="0080420C" w:rsidRDefault="0080420C" w:rsidP="0080420C">
      <w:pPr>
        <w:pStyle w:val="ListParagraph"/>
      </w:pPr>
      <w:r>
        <w:rPr>
          <w:b/>
        </w:rPr>
        <w:t xml:space="preserve">• </w:t>
      </w:r>
      <w:r>
        <w:t>Repeat the licence review before production deployment because licences and product terms may change.</w:t>
      </w:r>
    </w:p>
    <w:p w:rsidR="0080420C" w:rsidRDefault="0080420C" w:rsidP="0080420C">
      <w:pPr>
        <w:pStyle w:val="Heading2"/>
      </w:pPr>
      <w:r>
        <w:rPr>
          <w:rFonts w:ascii="Arial" w:hAnsi="Arial"/>
        </w:rPr>
        <w:t>5.6 Recommended decision statement</w:t>
      </w:r>
    </w:p>
    <w:p w:rsidR="008F54FB" w:rsidRDefault="0080420C" w:rsidP="0080420C">
      <w:pPr>
        <w:jc w:val="both"/>
      </w:pPr>
      <w:r>
        <w:t>The listed technologies form a structured set of implementation candidates mapped to the Gateway needs. Final selection will be based on validated requirements, mandatory criteria, comparative proof-of-concept evidence, security and compliance review, operational sustainability, licensing and procurement implications, and compatibility with national and European AI Factory infrastructures. SAIFA will reuse mature platforms where possible and develop only the integration and governance capabilities that are specific to the AI Gateway.</w:t>
      </w:r>
    </w:p>
    <w:p w:rsidR="0080420C" w:rsidRPr="002701B6" w:rsidRDefault="0080420C" w:rsidP="0080420C">
      <w:pPr>
        <w:jc w:val="both"/>
      </w:pPr>
    </w:p>
    <w:sectPr w:rsidR="0080420C" w:rsidRPr="002701B6" w:rsidSect="008F54FB">
      <w:pgSz w:w="16838" w:h="11906" w:orient="landscape"/>
      <w:pgMar w:top="907" w:right="907" w:bottom="907" w:left="907" w:header="0" w:footer="0" w:gutter="0"/>
      <w:cols w:space="720"/>
      <w:formProt w:val="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00"/>
    <w:family w:val="roman"/>
    <w:notTrueType/>
    <w:pitch w:val="default"/>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0523B9"/>
    <w:multiLevelType w:val="multilevel"/>
    <w:tmpl w:val="6CBA9AF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EBE4796"/>
    <w:multiLevelType w:val="multilevel"/>
    <w:tmpl w:val="0246A73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11D67ADF"/>
    <w:multiLevelType w:val="multilevel"/>
    <w:tmpl w:val="40E61DD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nsid w:val="298F7B52"/>
    <w:multiLevelType w:val="multilevel"/>
    <w:tmpl w:val="89F4E2A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4EC0624E"/>
    <w:multiLevelType w:val="multilevel"/>
    <w:tmpl w:val="4658EA9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nsid w:val="59FA0D6B"/>
    <w:multiLevelType w:val="multilevel"/>
    <w:tmpl w:val="CE482560"/>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nsid w:val="72352805"/>
    <w:multiLevelType w:val="multilevel"/>
    <w:tmpl w:val="1E8C504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4"/>
  </w:num>
  <w:num w:numId="2">
    <w:abstractNumId w:val="5"/>
  </w:num>
  <w:num w:numId="3">
    <w:abstractNumId w:val="1"/>
  </w:num>
  <w:num w:numId="4">
    <w:abstractNumId w:val="6"/>
  </w:num>
  <w:num w:numId="5">
    <w:abstractNumId w:val="3"/>
  </w:num>
  <w:num w:numId="6">
    <w:abstractNumId w:val="0"/>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autoHyphenation/>
  <w:characterSpacingControl w:val="doNotCompress"/>
  <w:compat>
    <w:useFELayout/>
  </w:compat>
  <w:rsids>
    <w:rsidRoot w:val="008F54FB"/>
    <w:rsid w:val="002701B6"/>
    <w:rsid w:val="002A1F57"/>
    <w:rsid w:val="0035762C"/>
    <w:rsid w:val="00370CF0"/>
    <w:rsid w:val="004A09ED"/>
    <w:rsid w:val="00527C35"/>
    <w:rsid w:val="005C75A7"/>
    <w:rsid w:val="0069790C"/>
    <w:rsid w:val="006B2613"/>
    <w:rsid w:val="0080420C"/>
    <w:rsid w:val="008601B9"/>
    <w:rsid w:val="008E006E"/>
    <w:rsid w:val="008F54FB"/>
    <w:rsid w:val="00946118"/>
    <w:rsid w:val="00982C2B"/>
    <w:rsid w:val="00996D3B"/>
    <w:rsid w:val="009D0E99"/>
    <w:rsid w:val="00BD5D90"/>
    <w:rsid w:val="00F86450"/>
    <w:rsid w:val="00F933ED"/>
    <w:rsid w:val="00FE2C11"/>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rsid w:val="008F54FB"/>
    <w:pPr>
      <w:keepNext/>
      <w:spacing w:before="240" w:after="120"/>
    </w:pPr>
    <w:rPr>
      <w:rFonts w:ascii="Liberation Sans" w:eastAsia="Microsoft YaHei" w:hAnsi="Liberation Sans" w:cs="Arial Unicode M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before="60" w:after="160" w:line="240" w:lineRule="auto"/>
    </w:pPr>
    <w:rPr>
      <w:b/>
      <w:bCs/>
      <w:i/>
      <w:color w:val="464646"/>
      <w:sz w:val="18"/>
      <w:szCs w:val="18"/>
    </w:rPr>
  </w:style>
  <w:style w:type="paragraph" w:customStyle="1" w:styleId="Index">
    <w:name w:val="Index"/>
    <w:basedOn w:val="Normal"/>
    <w:qFormat/>
    <w:rsid w:val="008F54FB"/>
    <w:pPr>
      <w:suppressLineNumbers/>
    </w:pPr>
    <w:rPr>
      <w:rFonts w:cs="Arial Unicode MS"/>
    </w:rPr>
  </w:style>
  <w:style w:type="paragraph" w:customStyle="1" w:styleId="HeaderandFooter">
    <w:name w:val="Header and Footer"/>
    <w:basedOn w:val="Normal"/>
    <w:qFormat/>
    <w:rsid w:val="008F54FB"/>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F4E79"/>
      <w:spacing w:val="5"/>
      <w:kern w:val="2"/>
      <w:sz w:val="36"/>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40"/>
      <w:ind w:left="312" w:hanging="142"/>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rsid w:val="008F54FB"/>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BA5FC9-2116-4A48-83FD-5068DB243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1352</Words>
  <Characters>7707</Characters>
  <Application>Microsoft Office Word</Application>
  <DocSecurity>0</DocSecurity>
  <Lines>64</Lines>
  <Paragraphs>18</Paragraphs>
  <ScaleCrop>false</ScaleCrop>
  <Company/>
  <LinksUpToDate>false</LinksUpToDate>
  <CharactersWithSpaces>9041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lastModifiedBy>Zaharije Radivojević</cp:lastModifiedBy>
  <cp:revision>19</cp:revision>
  <dcterms:created xsi:type="dcterms:W3CDTF">2013-12-23T23:15:00Z</dcterms:created>
  <dcterms:modified xsi:type="dcterms:W3CDTF">2026-07-22T08:09:00Z</dcterms:modified>
</cp:coreProperties>
</file>