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1AC7" w:rsidRDefault="00BB1AC7" w:rsidP="00BB1AC7">
      <w:pPr>
        <w:pStyle w:val="Heading1"/>
      </w:pPr>
      <w:r>
        <w:rPr>
          <w:rFonts w:ascii="Arial" w:hAnsi="Arial"/>
        </w:rPr>
        <w:t>6. Risks and Mitigation Measures</w:t>
      </w:r>
    </w:p>
    <w:p w:rsidR="00BB1AC7" w:rsidRDefault="00BB1AC7" w:rsidP="00BB1AC7">
      <w:pPr>
        <w:pStyle w:val="Heading2"/>
      </w:pPr>
      <w:r>
        <w:rPr>
          <w:rFonts w:ascii="Arial" w:hAnsi="Arial"/>
        </w:rPr>
        <w:t>6.1 Purpose and status</w:t>
      </w:r>
    </w:p>
    <w:p w:rsidR="00BB1AC7" w:rsidRDefault="00BB1AC7" w:rsidP="00BB1AC7">
      <w:pPr>
        <w:jc w:val="both"/>
      </w:pPr>
      <w:r>
        <w:t>The design, implementation and operation of the SAIFA AI Gateway depend on technical infrastructure, external identity and computing services, domain data, organisational procedures and cooperation with national and European partners. Risk management must therefore be integrated with requirements validation, architecture decisions, implementation planning and release acceptance. The register below combines the project-level risks stated in the proposal with Gateway-specific risks identified during the initial design.</w:t>
      </w:r>
    </w:p>
    <w:p w:rsidR="00BB1AC7" w:rsidRDefault="00BB1AC7" w:rsidP="00BB1AC7">
      <w:pPr>
        <w:jc w:val="both"/>
      </w:pPr>
      <w:r>
        <w:t>The register is an initial baseline. It must be updated when stakeholder validation changes a requirement, a proof of concept produces new evidence, an architectural decision is approved, an external dependency changes, an acceptance test fails, a new domain workflow is introduced, or a risk becomes an issue. Risk levels inherited from the proposal are retained; levels for Gateway-specific risks remain subject to formal confirmation.</w:t>
      </w:r>
    </w:p>
    <w:p w:rsidR="00BB1AC7" w:rsidRDefault="00BB1AC7" w:rsidP="00BB1AC7">
      <w:pPr>
        <w:pStyle w:val="Heading2"/>
      </w:pPr>
      <w:r>
        <w:rPr>
          <w:rFonts w:ascii="Arial" w:hAnsi="Arial"/>
        </w:rPr>
        <w:t>6.2 Assessment and governance</w:t>
      </w:r>
    </w:p>
    <w:p w:rsidR="00BB1AC7" w:rsidRDefault="00BB1AC7" w:rsidP="00BB1AC7">
      <w:pPr>
        <w:pStyle w:val="ListParagraph"/>
      </w:pPr>
      <w:r>
        <w:rPr>
          <w:b/>
        </w:rPr>
        <w:t xml:space="preserve">• </w:t>
      </w:r>
      <w:r>
        <w:t>Each record should identify the risk, category, cause, consequence, initial level, preventive controls, contingency measures, evidence, owner, related design items, residual level and status.</w:t>
      </w:r>
    </w:p>
    <w:p w:rsidR="00BB1AC7" w:rsidRDefault="00BB1AC7" w:rsidP="00BB1AC7">
      <w:pPr>
        <w:pStyle w:val="ListParagraph"/>
      </w:pPr>
      <w:r>
        <w:rPr>
          <w:b/>
        </w:rPr>
        <w:t xml:space="preserve">• </w:t>
      </w:r>
      <w:r>
        <w:t>Until the project adopts a common likelihood-impact matrix, the High, Moderate and Low levels used in the proposal should not be converted into invented numerical scores.</w:t>
      </w:r>
    </w:p>
    <w:p w:rsidR="00BB1AC7" w:rsidRDefault="00BB1AC7" w:rsidP="00BB1AC7">
      <w:pPr>
        <w:pStyle w:val="ListParagraph"/>
      </w:pPr>
      <w:r>
        <w:rPr>
          <w:b/>
        </w:rPr>
        <w:t xml:space="preserve">• </w:t>
      </w:r>
      <w:r>
        <w:t>The Gateway team, infrastructure operators, WP4 domain owners, WP5 support and training teams, WP1 quality management, and the Legal and Ethics Board contribute evidence and corrective actions within their responsibilities.</w:t>
      </w:r>
    </w:p>
    <w:p w:rsidR="00BB1AC7" w:rsidRDefault="00BB1AC7" w:rsidP="00BB1AC7">
      <w:pPr>
        <w:pStyle w:val="ListParagraph"/>
      </w:pPr>
      <w:r>
        <w:rPr>
          <w:b/>
        </w:rPr>
        <w:t xml:space="preserve">• </w:t>
      </w:r>
      <w:r>
        <w:t>A function is not accepted when a successful functional test leaves an unaddressed high security, privacy, ethical or domain-validity risk.</w:t>
      </w:r>
    </w:p>
    <w:p w:rsidR="00BB1AC7" w:rsidRDefault="00BB1AC7" w:rsidP="00BB1AC7">
      <w:pPr>
        <w:pStyle w:val="Heading2"/>
      </w:pPr>
      <w:r>
        <w:rPr>
          <w:rFonts w:ascii="Arial" w:hAnsi="Arial"/>
        </w:rPr>
        <w:t>6.3 Initial risk register</w:t>
      </w:r>
    </w:p>
    <w:p w:rsidR="00BB1AC7" w:rsidRDefault="00BB1AC7" w:rsidP="00BB1AC7">
      <w:pPr>
        <w:pStyle w:val="Heading3"/>
      </w:pPr>
      <w:r>
        <w:rPr>
          <w:rFonts w:ascii="Arial" w:hAnsi="Arial"/>
        </w:rPr>
        <w:t>R-01 - Personnel turnover</w:t>
      </w:r>
    </w:p>
    <w:p w:rsidR="00BB1AC7" w:rsidRDefault="00BB1AC7" w:rsidP="00BB1AC7">
      <w:pPr>
        <w:jc w:val="both"/>
      </w:pPr>
      <w:r>
        <w:rPr>
          <w:b/>
          <w:color w:val="1F4E79"/>
        </w:rPr>
        <w:t xml:space="preserve">Category: </w:t>
      </w:r>
      <w:r>
        <w:t xml:space="preserve">Organisational    </w:t>
      </w:r>
      <w:r>
        <w:rPr>
          <w:b/>
          <w:color w:val="1F4E79"/>
        </w:rPr>
        <w:t xml:space="preserve">Initial level: </w:t>
      </w:r>
      <w:r>
        <w:t>High (proposal)</w:t>
      </w:r>
    </w:p>
    <w:p w:rsidR="00BB1AC7" w:rsidRDefault="00BB1AC7" w:rsidP="00BB1AC7">
      <w:pPr>
        <w:jc w:val="both"/>
      </w:pPr>
      <w:r>
        <w:rPr>
          <w:b/>
          <w:color w:val="1F4E79"/>
        </w:rPr>
        <w:t xml:space="preserve">Risk. </w:t>
      </w:r>
      <w:r>
        <w:t>Loss of key technical or domain staff may delay integration and reduce continuity of operation and support.</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Maintain shared documentation and architecture decision records.</w:t>
      </w:r>
    </w:p>
    <w:p w:rsidR="00BB1AC7" w:rsidRDefault="00BB1AC7" w:rsidP="00BB1AC7">
      <w:pPr>
        <w:pStyle w:val="ListParagraph"/>
      </w:pPr>
      <w:r>
        <w:rPr>
          <w:b/>
        </w:rPr>
        <w:t xml:space="preserve">• </w:t>
      </w:r>
      <w:r>
        <w:t>Use code review, paired ownership and repeatable deployment procedures.</w:t>
      </w:r>
    </w:p>
    <w:p w:rsidR="00BB1AC7" w:rsidRDefault="00BB1AC7" w:rsidP="00BB1AC7">
      <w:pPr>
        <w:pStyle w:val="ListParagraph"/>
      </w:pPr>
      <w:r>
        <w:rPr>
          <w:b/>
        </w:rPr>
        <w:t xml:space="preserve">• </w:t>
      </w:r>
      <w:r>
        <w:t>Plan knowledge transfer and succession for critical components.</w:t>
      </w:r>
    </w:p>
    <w:p w:rsidR="00BB1AC7" w:rsidRDefault="00BB1AC7" w:rsidP="00BB1AC7">
      <w:pPr>
        <w:jc w:val="both"/>
      </w:pPr>
      <w:r>
        <w:rPr>
          <w:b/>
          <w:color w:val="1F4E79"/>
        </w:rPr>
        <w:t xml:space="preserve">Acceptance or mitigation evidence. </w:t>
      </w:r>
      <w:r>
        <w:t>Evidence: current documentation, named primary and backup owners, and successful handover exercises.</w:t>
      </w:r>
    </w:p>
    <w:p w:rsidR="00BB1AC7" w:rsidRDefault="00BB1AC7" w:rsidP="00BB1AC7">
      <w:pPr>
        <w:pStyle w:val="Heading3"/>
      </w:pPr>
      <w:r>
        <w:rPr>
          <w:rFonts w:ascii="Arial" w:hAnsi="Arial"/>
        </w:rPr>
        <w:t>R-02 - Availability of computational resources</w:t>
      </w:r>
    </w:p>
    <w:p w:rsidR="00BB1AC7" w:rsidRDefault="00BB1AC7" w:rsidP="00BB1AC7">
      <w:pPr>
        <w:jc w:val="both"/>
      </w:pPr>
      <w:r>
        <w:rPr>
          <w:b/>
          <w:color w:val="1F4E79"/>
        </w:rPr>
        <w:t xml:space="preserve">Category: </w:t>
      </w:r>
      <w:r>
        <w:t xml:space="preserve">Infrastructure / external dependency    </w:t>
      </w:r>
      <w:r>
        <w:rPr>
          <w:b/>
          <w:color w:val="1F4E79"/>
        </w:rPr>
        <w:t xml:space="preserve">Initial level: </w:t>
      </w:r>
      <w:r>
        <w:t>Low (proposal)</w:t>
      </w:r>
    </w:p>
    <w:p w:rsidR="00BB1AC7" w:rsidRDefault="00BB1AC7" w:rsidP="00BB1AC7">
      <w:pPr>
        <w:jc w:val="both"/>
      </w:pPr>
      <w:r>
        <w:rPr>
          <w:b/>
          <w:color w:val="1F4E79"/>
        </w:rPr>
        <w:t xml:space="preserve">Risk. </w:t>
      </w:r>
      <w:r>
        <w:t>Demand on national or European infrastructure may limit the capacity available for development, demonstrations and large domain workflows.</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Define a beta workload that fits confirmed allocations.</w:t>
      </w:r>
    </w:p>
    <w:p w:rsidR="00BB1AC7" w:rsidRDefault="00BB1AC7" w:rsidP="00BB1AC7">
      <w:pPr>
        <w:pStyle w:val="ListParagraph"/>
      </w:pPr>
      <w:r>
        <w:rPr>
          <w:b/>
        </w:rPr>
        <w:t xml:space="preserve">• </w:t>
      </w:r>
      <w:r>
        <w:t>Separate interactive and long-running batch workloads.</w:t>
      </w:r>
    </w:p>
    <w:p w:rsidR="00BB1AC7" w:rsidRDefault="00BB1AC7" w:rsidP="00BB1AC7">
      <w:pPr>
        <w:pStyle w:val="ListParagraph"/>
      </w:pPr>
      <w:r>
        <w:rPr>
          <w:b/>
        </w:rPr>
        <w:t xml:space="preserve">• </w:t>
      </w:r>
      <w:r>
        <w:t>Estimate and reserve resources before dispatch.</w:t>
      </w:r>
    </w:p>
    <w:p w:rsidR="00BB1AC7" w:rsidRDefault="00BB1AC7" w:rsidP="00BB1AC7">
      <w:pPr>
        <w:pStyle w:val="ListParagraph"/>
      </w:pPr>
      <w:r>
        <w:rPr>
          <w:b/>
        </w:rPr>
        <w:t xml:space="preserve">• </w:t>
      </w:r>
      <w:r>
        <w:t>Use smaller reference datasets for functional acceptance and pursue additional national or EuroHPC allocations.</w:t>
      </w:r>
    </w:p>
    <w:p w:rsidR="00BB1AC7" w:rsidRDefault="00BB1AC7" w:rsidP="00BB1AC7">
      <w:pPr>
        <w:jc w:val="both"/>
      </w:pPr>
      <w:r>
        <w:rPr>
          <w:b/>
          <w:color w:val="1F4E79"/>
        </w:rPr>
        <w:t xml:space="preserve">Acceptance or mitigation evidence. </w:t>
      </w:r>
      <w:r>
        <w:t>Evidence: confirmed allocation, reference job, queue visibility and repeatable benchmark results.</w:t>
      </w:r>
    </w:p>
    <w:p w:rsidR="00BB1AC7" w:rsidRDefault="00BB1AC7" w:rsidP="00BB1AC7">
      <w:pPr>
        <w:pStyle w:val="Heading3"/>
      </w:pPr>
      <w:r>
        <w:rPr>
          <w:rFonts w:ascii="Arial" w:hAnsi="Arial"/>
        </w:rPr>
        <w:lastRenderedPageBreak/>
        <w:t>R-03 - Overly complex user interfaces</w:t>
      </w:r>
    </w:p>
    <w:p w:rsidR="00BB1AC7" w:rsidRDefault="00BB1AC7" w:rsidP="00BB1AC7">
      <w:pPr>
        <w:jc w:val="both"/>
      </w:pPr>
      <w:r>
        <w:rPr>
          <w:b/>
          <w:color w:val="1F4E79"/>
        </w:rPr>
        <w:t xml:space="preserve">Category: </w:t>
      </w:r>
      <w:r>
        <w:t xml:space="preserve">Usability / adoption    </w:t>
      </w:r>
      <w:r>
        <w:rPr>
          <w:b/>
          <w:color w:val="1F4E79"/>
        </w:rPr>
        <w:t xml:space="preserve">Initial level: </w:t>
      </w:r>
      <w:r>
        <w:t>Moderate (proposal)</w:t>
      </w:r>
    </w:p>
    <w:p w:rsidR="00BB1AC7" w:rsidRDefault="00BB1AC7" w:rsidP="00BB1AC7">
      <w:pPr>
        <w:jc w:val="both"/>
      </w:pPr>
      <w:r>
        <w:rPr>
          <w:b/>
          <w:color w:val="1F4E79"/>
        </w:rPr>
        <w:t xml:space="preserve">Risk. </w:t>
      </w:r>
      <w:r>
        <w:t>A single Gateway serving many domains, roles and skill levels may become difficult to use and may increase support demand.</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Use role-adapted views, guided and expert paths, predefined templates and progressive disclosure.</w:t>
      </w:r>
    </w:p>
    <w:p w:rsidR="00BB1AC7" w:rsidRDefault="00BB1AC7" w:rsidP="00BB1AC7">
      <w:pPr>
        <w:pStyle w:val="ListParagraph"/>
      </w:pPr>
      <w:r>
        <w:rPr>
          <w:b/>
        </w:rPr>
        <w:t xml:space="preserve">• </w:t>
      </w:r>
      <w:r>
        <w:t>Test agreed scenarios with representatives of the intended user groups.</w:t>
      </w:r>
    </w:p>
    <w:p w:rsidR="00BB1AC7" w:rsidRDefault="00BB1AC7" w:rsidP="00BB1AC7">
      <w:pPr>
        <w:pStyle w:val="ListParagraph"/>
      </w:pPr>
      <w:r>
        <w:rPr>
          <w:b/>
        </w:rPr>
        <w:t xml:space="preserve">• </w:t>
      </w:r>
      <w:r>
        <w:t>Provide documentation and direct links to WP5 support and training.</w:t>
      </w:r>
    </w:p>
    <w:p w:rsidR="00BB1AC7" w:rsidRDefault="00BB1AC7" w:rsidP="00BB1AC7">
      <w:pPr>
        <w:jc w:val="both"/>
      </w:pPr>
      <w:r>
        <w:rPr>
          <w:b/>
          <w:color w:val="1F4E79"/>
        </w:rPr>
        <w:t xml:space="preserve">Acceptance or mitigation evidence. </w:t>
      </w:r>
      <w:r>
        <w:t>Release condition: the relevant user group can complete the normal flow with the agreed level of assistance.</w:t>
      </w:r>
    </w:p>
    <w:p w:rsidR="00BB1AC7" w:rsidRDefault="00BB1AC7" w:rsidP="00BB1AC7">
      <w:pPr>
        <w:pStyle w:val="Heading3"/>
      </w:pPr>
      <w:r>
        <w:rPr>
          <w:rFonts w:ascii="Arial" w:hAnsi="Arial"/>
        </w:rPr>
        <w:t>R-04 - Dataset quality and availability</w:t>
      </w:r>
    </w:p>
    <w:p w:rsidR="00BB1AC7" w:rsidRDefault="00BB1AC7" w:rsidP="00BB1AC7">
      <w:pPr>
        <w:jc w:val="both"/>
      </w:pPr>
      <w:r>
        <w:rPr>
          <w:b/>
          <w:color w:val="1F4E79"/>
        </w:rPr>
        <w:t xml:space="preserve">Category: </w:t>
      </w:r>
      <w:r>
        <w:t xml:space="preserve">Domain / data    </w:t>
      </w:r>
      <w:r>
        <w:rPr>
          <w:b/>
          <w:color w:val="1F4E79"/>
        </w:rPr>
        <w:t xml:space="preserve">Initial level: </w:t>
      </w:r>
      <w:r>
        <w:t>Moderate (proposal)</w:t>
      </w:r>
    </w:p>
    <w:p w:rsidR="00BB1AC7" w:rsidRDefault="00BB1AC7" w:rsidP="00BB1AC7">
      <w:pPr>
        <w:jc w:val="both"/>
      </w:pPr>
      <w:r>
        <w:rPr>
          <w:b/>
          <w:color w:val="1F4E79"/>
        </w:rPr>
        <w:t xml:space="preserve">Risk. </w:t>
      </w:r>
      <w:r>
        <w:t>Available datasets may be incomplete, unsuitable, legally restricted or insufficiently representative for the intended workflows.</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Validate data ownership, quality, representativeness and permitted use before onboarding.</w:t>
      </w:r>
    </w:p>
    <w:p w:rsidR="00BB1AC7" w:rsidRDefault="00BB1AC7" w:rsidP="00BB1AC7">
      <w:pPr>
        <w:pStyle w:val="ListParagraph"/>
      </w:pPr>
      <w:r>
        <w:rPr>
          <w:b/>
        </w:rPr>
        <w:t xml:space="preserve">• </w:t>
      </w:r>
      <w:r>
        <w:t>Version datasets and record provenance, licence, limitations and quality evidence.</w:t>
      </w:r>
    </w:p>
    <w:p w:rsidR="00BB1AC7" w:rsidRDefault="00BB1AC7" w:rsidP="00BB1AC7">
      <w:pPr>
        <w:pStyle w:val="ListParagraph"/>
      </w:pPr>
      <w:r>
        <w:rPr>
          <w:b/>
        </w:rPr>
        <w:t xml:space="preserve">• </w:t>
      </w:r>
      <w:r>
        <w:t>Use curated or synthetic data where appropriate and approved.</w:t>
      </w:r>
    </w:p>
    <w:p w:rsidR="00BB1AC7" w:rsidRDefault="00BB1AC7" w:rsidP="00BB1AC7">
      <w:pPr>
        <w:jc w:val="both"/>
      </w:pPr>
      <w:r>
        <w:rPr>
          <w:b/>
          <w:color w:val="1F4E79"/>
        </w:rPr>
        <w:t xml:space="preserve">Acceptance or mitigation evidence. </w:t>
      </w:r>
      <w:r>
        <w:t>Evidence: data card, quality checks, approval record and reproducible dataset version.</w:t>
      </w:r>
    </w:p>
    <w:p w:rsidR="00BB1AC7" w:rsidRDefault="00BB1AC7" w:rsidP="00BB1AC7">
      <w:pPr>
        <w:pStyle w:val="Heading3"/>
      </w:pPr>
      <w:r>
        <w:rPr>
          <w:rFonts w:ascii="Arial" w:hAnsi="Arial"/>
        </w:rPr>
        <w:t>R-05 - Technological obsolescence</w:t>
      </w:r>
    </w:p>
    <w:p w:rsidR="00BB1AC7" w:rsidRDefault="00BB1AC7" w:rsidP="00BB1AC7">
      <w:pPr>
        <w:jc w:val="both"/>
      </w:pPr>
      <w:r>
        <w:rPr>
          <w:b/>
          <w:color w:val="1F4E79"/>
        </w:rPr>
        <w:t xml:space="preserve">Category: </w:t>
      </w:r>
      <w:r>
        <w:t xml:space="preserve">Technology / sustainability    </w:t>
      </w:r>
      <w:r>
        <w:rPr>
          <w:b/>
          <w:color w:val="1F4E79"/>
        </w:rPr>
        <w:t xml:space="preserve">Initial level: </w:t>
      </w:r>
      <w:r>
        <w:t>Low (proposal)</w:t>
      </w:r>
    </w:p>
    <w:p w:rsidR="00BB1AC7" w:rsidRDefault="00BB1AC7" w:rsidP="00BB1AC7">
      <w:pPr>
        <w:jc w:val="both"/>
      </w:pPr>
      <w:r>
        <w:rPr>
          <w:b/>
          <w:color w:val="1F4E79"/>
        </w:rPr>
        <w:t xml:space="preserve">Risk. </w:t>
      </w:r>
      <w:r>
        <w:t>Selected frameworks, interfaces or products may become unsupported or incompatible during the project.</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Separate logical interfaces from product-specific adapters.</w:t>
      </w:r>
    </w:p>
    <w:p w:rsidR="00BB1AC7" w:rsidRDefault="00BB1AC7" w:rsidP="00BB1AC7">
      <w:pPr>
        <w:pStyle w:val="ListParagraph"/>
      </w:pPr>
      <w:r>
        <w:rPr>
          <w:b/>
        </w:rPr>
        <w:t xml:space="preserve">• </w:t>
      </w:r>
      <w:r>
        <w:t>Use open formats, time-boxed proofs of concept and architecture decision records.</w:t>
      </w:r>
    </w:p>
    <w:p w:rsidR="00BB1AC7" w:rsidRDefault="00BB1AC7" w:rsidP="00BB1AC7">
      <w:pPr>
        <w:pStyle w:val="ListParagraph"/>
      </w:pPr>
      <w:r>
        <w:rPr>
          <w:b/>
        </w:rPr>
        <w:t xml:space="preserve">• </w:t>
      </w:r>
      <w:r>
        <w:t>Define exit criteria and review dependency support regularly.</w:t>
      </w:r>
    </w:p>
    <w:p w:rsidR="00BB1AC7" w:rsidRDefault="00BB1AC7" w:rsidP="00BB1AC7">
      <w:pPr>
        <w:jc w:val="both"/>
      </w:pPr>
      <w:r>
        <w:rPr>
          <w:b/>
          <w:color w:val="1F4E79"/>
        </w:rPr>
        <w:t xml:space="preserve">Acceptance or mitigation evidence. </w:t>
      </w:r>
      <w:r>
        <w:t>Evidence: documented alternatives, migration path and periodic support-status review.</w:t>
      </w:r>
    </w:p>
    <w:p w:rsidR="00BB1AC7" w:rsidRDefault="00BB1AC7" w:rsidP="00BB1AC7">
      <w:pPr>
        <w:pStyle w:val="Heading3"/>
      </w:pPr>
      <w:r>
        <w:rPr>
          <w:rFonts w:ascii="Arial" w:hAnsi="Arial"/>
        </w:rPr>
        <w:t>R-06 - Data privacy, ethics and unlawful publication</w:t>
      </w:r>
    </w:p>
    <w:p w:rsidR="00BB1AC7" w:rsidRDefault="00BB1AC7" w:rsidP="00BB1AC7">
      <w:pPr>
        <w:jc w:val="both"/>
      </w:pPr>
      <w:r>
        <w:rPr>
          <w:b/>
          <w:color w:val="1F4E79"/>
        </w:rPr>
        <w:t xml:space="preserve">Category: </w:t>
      </w:r>
      <w:r>
        <w:t xml:space="preserve">Compliance / security    </w:t>
      </w:r>
      <w:r>
        <w:rPr>
          <w:b/>
          <w:color w:val="1F4E79"/>
        </w:rPr>
        <w:t xml:space="preserve">Initial level: </w:t>
      </w:r>
      <w:r>
        <w:t>High (proposal)</w:t>
      </w:r>
    </w:p>
    <w:p w:rsidR="00BB1AC7" w:rsidRDefault="00BB1AC7" w:rsidP="00BB1AC7">
      <w:pPr>
        <w:jc w:val="both"/>
      </w:pPr>
      <w:r>
        <w:rPr>
          <w:b/>
          <w:color w:val="1F4E79"/>
        </w:rPr>
        <w:t xml:space="preserve">Risk. </w:t>
      </w:r>
      <w:r>
        <w:t>Personal, sensitive or high-impact data and models may be processed, shared or published without the required legal, ethical or governance controls.</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Classify data and default sensitive resources to controlled visibility.</w:t>
      </w:r>
    </w:p>
    <w:p w:rsidR="00BB1AC7" w:rsidRDefault="00BB1AC7" w:rsidP="00BB1AC7">
      <w:pPr>
        <w:pStyle w:val="ListParagraph"/>
      </w:pPr>
      <w:r>
        <w:rPr>
          <w:b/>
        </w:rPr>
        <w:t xml:space="preserve">• </w:t>
      </w:r>
      <w:r>
        <w:t>Record legal basis, consent and access conditions where required.</w:t>
      </w:r>
    </w:p>
    <w:p w:rsidR="00BB1AC7" w:rsidRDefault="00BB1AC7" w:rsidP="00BB1AC7">
      <w:pPr>
        <w:pStyle w:val="ListParagraph"/>
      </w:pPr>
      <w:r>
        <w:rPr>
          <w:b/>
        </w:rPr>
        <w:t xml:space="preserve">• </w:t>
      </w:r>
      <w:r>
        <w:t>Apply publication review, audit logging, compute-to-data restrictions and Legal and Ethics Board involvement.</w:t>
      </w:r>
    </w:p>
    <w:p w:rsidR="00BB1AC7" w:rsidRDefault="00BB1AC7" w:rsidP="00BB1AC7">
      <w:pPr>
        <w:jc w:val="both"/>
      </w:pPr>
      <w:r>
        <w:rPr>
          <w:b/>
          <w:color w:val="1F4E79"/>
        </w:rPr>
        <w:t xml:space="preserve">Acceptance or mitigation evidence. </w:t>
      </w:r>
      <w:r>
        <w:t>Release condition: no public access or external export is enabled until the required evidence and approval are complete.</w:t>
      </w:r>
    </w:p>
    <w:p w:rsidR="00BB1AC7" w:rsidRDefault="00BB1AC7" w:rsidP="00BB1AC7">
      <w:pPr>
        <w:pStyle w:val="Heading3"/>
      </w:pPr>
      <w:r>
        <w:rPr>
          <w:rFonts w:ascii="Arial" w:hAnsi="Arial"/>
        </w:rPr>
        <w:t>R-07 - Interoperability with external infrastructures</w:t>
      </w:r>
    </w:p>
    <w:p w:rsidR="00BB1AC7" w:rsidRDefault="00BB1AC7" w:rsidP="00BB1AC7">
      <w:pPr>
        <w:jc w:val="both"/>
      </w:pPr>
      <w:r>
        <w:rPr>
          <w:b/>
          <w:color w:val="1F4E79"/>
        </w:rPr>
        <w:t xml:space="preserve">Category: </w:t>
      </w:r>
      <w:r>
        <w:t xml:space="preserve">External dependency / integration    </w:t>
      </w:r>
      <w:r>
        <w:rPr>
          <w:b/>
          <w:color w:val="1F4E79"/>
        </w:rPr>
        <w:t xml:space="preserve">Initial level: </w:t>
      </w:r>
      <w:r>
        <w:t>Moderate (proposal)</w:t>
      </w:r>
    </w:p>
    <w:p w:rsidR="00BB1AC7" w:rsidRDefault="00BB1AC7" w:rsidP="00BB1AC7">
      <w:pPr>
        <w:jc w:val="both"/>
      </w:pPr>
      <w:r>
        <w:rPr>
          <w:b/>
          <w:color w:val="1F4E79"/>
        </w:rPr>
        <w:t xml:space="preserve">Risk. </w:t>
      </w:r>
      <w:r>
        <w:t>Identity, metadata, policy or API incompatibilities with Pharos, IT4LIA or other services may delay federation and validation.</w:t>
      </w:r>
    </w:p>
    <w:p w:rsidR="00BB1AC7" w:rsidRDefault="00BB1AC7" w:rsidP="00BB1AC7">
      <w:pPr>
        <w:pStyle w:val="Heading4"/>
      </w:pPr>
      <w:r>
        <w:rPr>
          <w:rFonts w:ascii="Arial" w:hAnsi="Arial"/>
        </w:rPr>
        <w:lastRenderedPageBreak/>
        <w:t>Principal controls</w:t>
      </w:r>
    </w:p>
    <w:p w:rsidR="00BB1AC7" w:rsidRDefault="00BB1AC7" w:rsidP="00BB1AC7">
      <w:pPr>
        <w:pStyle w:val="ListParagraph"/>
      </w:pPr>
      <w:r>
        <w:rPr>
          <w:b/>
        </w:rPr>
        <w:t xml:space="preserve">• </w:t>
      </w:r>
      <w:r>
        <w:t>Use stable adapter interfaces and standard metadata and authentication protocols.</w:t>
      </w:r>
    </w:p>
    <w:p w:rsidR="00BB1AC7" w:rsidRDefault="00BB1AC7" w:rsidP="00BB1AC7">
      <w:pPr>
        <w:pStyle w:val="ListParagraph"/>
      </w:pPr>
      <w:r>
        <w:rPr>
          <w:b/>
        </w:rPr>
        <w:t xml:space="preserve">• </w:t>
      </w:r>
      <w:r>
        <w:t>Begin with read-only or mocked integration, preserve source provenance and isolate partner failures.</w:t>
      </w:r>
    </w:p>
    <w:p w:rsidR="00BB1AC7" w:rsidRDefault="00BB1AC7" w:rsidP="00BB1AC7">
      <w:pPr>
        <w:pStyle w:val="ListParagraph"/>
      </w:pPr>
      <w:r>
        <w:rPr>
          <w:b/>
        </w:rPr>
        <w:t xml:space="preserve">• </w:t>
      </w:r>
      <w:r>
        <w:t>Maintain jointly agreed interface documentation and regular technical coordination.</w:t>
      </w:r>
    </w:p>
    <w:p w:rsidR="00BB1AC7" w:rsidRDefault="00BB1AC7" w:rsidP="00BB1AC7">
      <w:pPr>
        <w:jc w:val="both"/>
      </w:pPr>
      <w:r>
        <w:rPr>
          <w:b/>
          <w:color w:val="1F4E79"/>
        </w:rPr>
        <w:t xml:space="preserve">Acceptance or mitigation evidence. </w:t>
      </w:r>
      <w:r>
        <w:t>Evidence: partner sandbox or mock tests, schema validation and graceful local operation during partner unavailability.</w:t>
      </w:r>
    </w:p>
    <w:p w:rsidR="00BB1AC7" w:rsidRDefault="00BB1AC7" w:rsidP="00BB1AC7">
      <w:pPr>
        <w:pStyle w:val="Heading3"/>
      </w:pPr>
      <w:r>
        <w:rPr>
          <w:rFonts w:ascii="Arial" w:hAnsi="Arial"/>
        </w:rPr>
        <w:t>R-08 - Cross-tenant or cross-project information leakage</w:t>
      </w:r>
    </w:p>
    <w:p w:rsidR="00BB1AC7" w:rsidRDefault="00BB1AC7" w:rsidP="00BB1AC7">
      <w:pPr>
        <w:jc w:val="both"/>
      </w:pPr>
      <w:r>
        <w:rPr>
          <w:b/>
          <w:color w:val="1F4E79"/>
        </w:rPr>
        <w:t xml:space="preserve">Category: </w:t>
      </w:r>
      <w:r>
        <w:t xml:space="preserve">Security    </w:t>
      </w:r>
      <w:r>
        <w:rPr>
          <w:b/>
          <w:color w:val="1F4E79"/>
        </w:rPr>
        <w:t xml:space="preserve">Initial level: </w:t>
      </w:r>
      <w:r>
        <w:t>High (Gateway-specific)</w:t>
      </w:r>
    </w:p>
    <w:p w:rsidR="00BB1AC7" w:rsidRDefault="00BB1AC7" w:rsidP="00BB1AC7">
      <w:pPr>
        <w:jc w:val="both"/>
      </w:pPr>
      <w:r>
        <w:rPr>
          <w:b/>
          <w:color w:val="1F4E79"/>
        </w:rPr>
        <w:t xml:space="preserve">Risk. </w:t>
      </w:r>
      <w:r>
        <w:t>Incorrect authorisation, catalogue filtering or storage policy may expose another user or project resource or metadata.</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Enforce server-side authorisation for every action and access-aware filtering in the catalogue index.</w:t>
      </w:r>
    </w:p>
    <w:p w:rsidR="00BB1AC7" w:rsidRDefault="00BB1AC7" w:rsidP="00BB1AC7">
      <w:pPr>
        <w:pStyle w:val="ListParagraph"/>
      </w:pPr>
      <w:r>
        <w:rPr>
          <w:b/>
        </w:rPr>
        <w:t xml:space="preserve">• </w:t>
      </w:r>
      <w:r>
        <w:t>Separate catalogue visibility from artefact access and support immediate credential revocation.</w:t>
      </w:r>
    </w:p>
    <w:p w:rsidR="00BB1AC7" w:rsidRDefault="00BB1AC7" w:rsidP="00BB1AC7">
      <w:pPr>
        <w:pStyle w:val="ListParagraph"/>
      </w:pPr>
      <w:r>
        <w:rPr>
          <w:b/>
        </w:rPr>
        <w:t xml:space="preserve">• </w:t>
      </w:r>
      <w:r>
        <w:t>Run negative, direct-URL and cross-project access tests.</w:t>
      </w:r>
    </w:p>
    <w:p w:rsidR="00BB1AC7" w:rsidRDefault="00BB1AC7" w:rsidP="00BB1AC7">
      <w:pPr>
        <w:jc w:val="both"/>
      </w:pPr>
      <w:r>
        <w:rPr>
          <w:b/>
          <w:color w:val="1F4E79"/>
        </w:rPr>
        <w:t xml:space="preserve">Acceptance or mitigation evidence. </w:t>
      </w:r>
      <w:r>
        <w:t>Release blocker: any confirmed unauthorised cross-tenant or cross-project access.</w:t>
      </w:r>
    </w:p>
    <w:p w:rsidR="00BB1AC7" w:rsidRDefault="00BB1AC7" w:rsidP="00BB1AC7">
      <w:pPr>
        <w:pStyle w:val="Heading3"/>
      </w:pPr>
      <w:r>
        <w:rPr>
          <w:rFonts w:ascii="Arial" w:hAnsi="Arial"/>
        </w:rPr>
        <w:t>R-09 - Dependence on HPC operators and cluster interfaces</w:t>
      </w:r>
    </w:p>
    <w:p w:rsidR="00BB1AC7" w:rsidRDefault="00BB1AC7" w:rsidP="00BB1AC7">
      <w:pPr>
        <w:jc w:val="both"/>
      </w:pPr>
      <w:r>
        <w:rPr>
          <w:b/>
          <w:color w:val="1F4E79"/>
        </w:rPr>
        <w:t xml:space="preserve">Category: </w:t>
      </w:r>
      <w:r>
        <w:t xml:space="preserve">Operations / external dependency    </w:t>
      </w:r>
      <w:r>
        <w:rPr>
          <w:b/>
          <w:color w:val="1F4E79"/>
        </w:rPr>
        <w:t xml:space="preserve">Initial level: </w:t>
      </w:r>
      <w:r>
        <w:t>High (Gateway-specific)</w:t>
      </w:r>
    </w:p>
    <w:p w:rsidR="00BB1AC7" w:rsidRDefault="00BB1AC7" w:rsidP="00BB1AC7">
      <w:pPr>
        <w:jc w:val="both"/>
      </w:pPr>
      <w:r>
        <w:rPr>
          <w:b/>
          <w:color w:val="1F4E79"/>
        </w:rPr>
        <w:t xml:space="preserve">Risk. </w:t>
      </w:r>
      <w:r>
        <w:t>Job submission, monitoring and accounting depend on cluster policies and interfaces outside the direct control of the Gateway team.</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Confirm one minimal supported job path first.</w:t>
      </w:r>
    </w:p>
    <w:p w:rsidR="00BB1AC7" w:rsidRDefault="00BB1AC7" w:rsidP="00BB1AC7">
      <w:pPr>
        <w:pStyle w:val="ListParagraph"/>
      </w:pPr>
      <w:r>
        <w:rPr>
          <w:b/>
        </w:rPr>
        <w:t xml:space="preserve">• </w:t>
      </w:r>
      <w:r>
        <w:t>Document the contract with each operator and keep cluster-specific logic in adapters.</w:t>
      </w:r>
    </w:p>
    <w:p w:rsidR="00BB1AC7" w:rsidRDefault="00BB1AC7" w:rsidP="00BB1AC7">
      <w:pPr>
        <w:pStyle w:val="ListParagraph"/>
      </w:pPr>
      <w:r>
        <w:rPr>
          <w:b/>
        </w:rPr>
        <w:t xml:space="preserve">• </w:t>
      </w:r>
      <w:r>
        <w:t>Use a test queue, reference job and reconciliation after connectivity loss.</w:t>
      </w:r>
    </w:p>
    <w:p w:rsidR="00BB1AC7" w:rsidRDefault="00BB1AC7" w:rsidP="00BB1AC7">
      <w:pPr>
        <w:jc w:val="both"/>
      </w:pPr>
      <w:r>
        <w:rPr>
          <w:b/>
          <w:color w:val="1F4E79"/>
        </w:rPr>
        <w:t xml:space="preserve">Acceptance or mitigation evidence. </w:t>
      </w:r>
      <w:r>
        <w:t>Evidence: repeatable submission-monitor-retrieve test on each supported backend and agreed responsibility matrix.</w:t>
      </w:r>
    </w:p>
    <w:p w:rsidR="00BB1AC7" w:rsidRDefault="00BB1AC7" w:rsidP="00BB1AC7">
      <w:pPr>
        <w:pStyle w:val="Heading3"/>
      </w:pPr>
      <w:r>
        <w:rPr>
          <w:rFonts w:ascii="Arial" w:hAnsi="Arial"/>
        </w:rPr>
        <w:t>R-10 - Loss of integrity during large transfers</w:t>
      </w:r>
    </w:p>
    <w:p w:rsidR="00BB1AC7" w:rsidRDefault="00BB1AC7" w:rsidP="00BB1AC7">
      <w:pPr>
        <w:jc w:val="both"/>
      </w:pPr>
      <w:r>
        <w:rPr>
          <w:b/>
          <w:color w:val="1F4E79"/>
        </w:rPr>
        <w:t xml:space="preserve">Category: </w:t>
      </w:r>
      <w:r>
        <w:t xml:space="preserve">Technical / data integrity    </w:t>
      </w:r>
      <w:r>
        <w:rPr>
          <w:b/>
          <w:color w:val="1F4E79"/>
        </w:rPr>
        <w:t xml:space="preserve">Initial level: </w:t>
      </w:r>
      <w:r>
        <w:t>Moderate (Gateway-specific)</w:t>
      </w:r>
    </w:p>
    <w:p w:rsidR="00BB1AC7" w:rsidRDefault="00BB1AC7" w:rsidP="00BB1AC7">
      <w:pPr>
        <w:jc w:val="both"/>
      </w:pPr>
      <w:r>
        <w:rPr>
          <w:b/>
          <w:color w:val="1F4E79"/>
        </w:rPr>
        <w:t xml:space="preserve">Risk. </w:t>
      </w:r>
      <w:r>
        <w:t>Interrupted transfer of datasets or models may create incomplete, duplicated or corrupted artefacts.</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Use resumable multipart transfer, checksums, temporary state and immutable versions.</w:t>
      </w:r>
    </w:p>
    <w:p w:rsidR="00BB1AC7" w:rsidRDefault="00BB1AC7" w:rsidP="00BB1AC7">
      <w:pPr>
        <w:pStyle w:val="ListParagraph"/>
      </w:pPr>
      <w:r>
        <w:rPr>
          <w:b/>
        </w:rPr>
        <w:t xml:space="preserve">• </w:t>
      </w:r>
      <w:r>
        <w:t>Prevent serving or publication before integrity verification and clean abandoned partial transfers.</w:t>
      </w:r>
    </w:p>
    <w:p w:rsidR="00BB1AC7" w:rsidRDefault="00BB1AC7" w:rsidP="00BB1AC7">
      <w:pPr>
        <w:jc w:val="both"/>
      </w:pPr>
      <w:r>
        <w:rPr>
          <w:b/>
          <w:color w:val="1F4E79"/>
        </w:rPr>
        <w:t xml:space="preserve">Acceptance or mitigation evidence. </w:t>
      </w:r>
      <w:r>
        <w:t>Evidence: representative interrupted-transfer and checksum-failure acceptance tests.</w:t>
      </w:r>
    </w:p>
    <w:p w:rsidR="00BB1AC7" w:rsidRDefault="00BB1AC7" w:rsidP="00BB1AC7">
      <w:pPr>
        <w:pStyle w:val="Heading3"/>
      </w:pPr>
      <w:r>
        <w:rPr>
          <w:rFonts w:ascii="Arial" w:hAnsi="Arial"/>
        </w:rPr>
        <w:t>R-11 - Premature workflow-orchestration complexity</w:t>
      </w:r>
    </w:p>
    <w:p w:rsidR="00BB1AC7" w:rsidRDefault="00BB1AC7" w:rsidP="00BB1AC7">
      <w:pPr>
        <w:jc w:val="both"/>
      </w:pPr>
      <w:r>
        <w:rPr>
          <w:b/>
          <w:color w:val="1F4E79"/>
        </w:rPr>
        <w:t xml:space="preserve">Category: </w:t>
      </w:r>
      <w:r>
        <w:t xml:space="preserve">Architecture / schedule    </w:t>
      </w:r>
      <w:r>
        <w:rPr>
          <w:b/>
          <w:color w:val="1F4E79"/>
        </w:rPr>
        <w:t xml:space="preserve">Initial level: </w:t>
      </w:r>
      <w:r>
        <w:t>Moderate (Gateway-specific)</w:t>
      </w:r>
    </w:p>
    <w:p w:rsidR="00BB1AC7" w:rsidRDefault="00BB1AC7" w:rsidP="00BB1AC7">
      <w:pPr>
        <w:jc w:val="both"/>
      </w:pPr>
      <w:r>
        <w:rPr>
          <w:b/>
          <w:color w:val="1F4E79"/>
        </w:rPr>
        <w:t xml:space="preserve">Risk. </w:t>
      </w:r>
      <w:r>
        <w:t>Introducing a general workflow engine before validated needs are known may delay the beta and increase operational burden.</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Support a reference linear workflow first.</w:t>
      </w:r>
    </w:p>
    <w:p w:rsidR="00BB1AC7" w:rsidRDefault="00BB1AC7" w:rsidP="00BB1AC7">
      <w:pPr>
        <w:pStyle w:val="ListParagraph"/>
      </w:pPr>
      <w:r>
        <w:rPr>
          <w:b/>
        </w:rPr>
        <w:t xml:space="preserve">• </w:t>
      </w:r>
      <w:r>
        <w:t>Separate workflow definition from execution and add advanced orchestration only after a proof of concept demonstrates the need.</w:t>
      </w:r>
    </w:p>
    <w:p w:rsidR="00BB1AC7" w:rsidRDefault="00BB1AC7" w:rsidP="00BB1AC7">
      <w:pPr>
        <w:jc w:val="both"/>
      </w:pPr>
      <w:r>
        <w:rPr>
          <w:b/>
          <w:color w:val="1F4E79"/>
        </w:rPr>
        <w:t xml:space="preserve">Acceptance or mitigation evidence. </w:t>
      </w:r>
      <w:r>
        <w:t>Evidence: validated workflow requirements and comparison of simple and general orchestration options.</w:t>
      </w:r>
    </w:p>
    <w:p w:rsidR="00BB1AC7" w:rsidRDefault="00BB1AC7" w:rsidP="00BB1AC7">
      <w:pPr>
        <w:pStyle w:val="Heading3"/>
      </w:pPr>
      <w:r>
        <w:rPr>
          <w:rFonts w:ascii="Arial" w:hAnsi="Arial"/>
        </w:rPr>
        <w:lastRenderedPageBreak/>
        <w:t>R-12 - Incorrect or stale monitoring information</w:t>
      </w:r>
    </w:p>
    <w:p w:rsidR="00BB1AC7" w:rsidRDefault="00BB1AC7" w:rsidP="00BB1AC7">
      <w:pPr>
        <w:jc w:val="both"/>
      </w:pPr>
      <w:r>
        <w:rPr>
          <w:b/>
          <w:color w:val="1F4E79"/>
        </w:rPr>
        <w:t xml:space="preserve">Category: </w:t>
      </w:r>
      <w:r>
        <w:t xml:space="preserve">Operations    </w:t>
      </w:r>
      <w:r>
        <w:rPr>
          <w:b/>
          <w:color w:val="1F4E79"/>
        </w:rPr>
        <w:t xml:space="preserve">Initial level: </w:t>
      </w:r>
      <w:r>
        <w:t>Low (Gateway-specific)</w:t>
      </w:r>
    </w:p>
    <w:p w:rsidR="00BB1AC7" w:rsidRDefault="00BB1AC7" w:rsidP="00BB1AC7">
      <w:pPr>
        <w:jc w:val="both"/>
      </w:pPr>
      <w:r>
        <w:rPr>
          <w:b/>
          <w:color w:val="1F4E79"/>
        </w:rPr>
        <w:t xml:space="preserve">Risk. </w:t>
      </w:r>
      <w:r>
        <w:t>A status view may incorrectly report a service or job as healthy, failed or available.</w:t>
      </w:r>
    </w:p>
    <w:p w:rsidR="00BB1AC7" w:rsidRDefault="00BB1AC7" w:rsidP="00BB1AC7">
      <w:pPr>
        <w:pStyle w:val="Heading4"/>
      </w:pPr>
      <w:r>
        <w:rPr>
          <w:rFonts w:ascii="Arial" w:hAnsi="Arial"/>
        </w:rPr>
        <w:t>Principal controls</w:t>
      </w:r>
    </w:p>
    <w:p w:rsidR="00BB1AC7" w:rsidRDefault="00BB1AC7" w:rsidP="00BB1AC7">
      <w:pPr>
        <w:pStyle w:val="ListParagraph"/>
      </w:pPr>
      <w:r>
        <w:rPr>
          <w:b/>
        </w:rPr>
        <w:t xml:space="preserve">• </w:t>
      </w:r>
      <w:r>
        <w:t>Use independent health checks, timestamps and clear operational/degraded/unavailable states.</w:t>
      </w:r>
    </w:p>
    <w:p w:rsidR="00BB1AC7" w:rsidRDefault="00BB1AC7" w:rsidP="00BB1AC7">
      <w:pPr>
        <w:pStyle w:val="ListParagraph"/>
      </w:pPr>
      <w:r>
        <w:rPr>
          <w:b/>
        </w:rPr>
        <w:t xml:space="preserve">• </w:t>
      </w:r>
      <w:r>
        <w:t>Test status propagation and allow operator annotation of incidents.</w:t>
      </w:r>
    </w:p>
    <w:p w:rsidR="00BB1AC7" w:rsidRDefault="00BB1AC7" w:rsidP="00BB1AC7">
      <w:pPr>
        <w:jc w:val="both"/>
      </w:pPr>
      <w:r>
        <w:rPr>
          <w:b/>
          <w:color w:val="1F4E79"/>
        </w:rPr>
        <w:t xml:space="preserve">Acceptance or mitigation evidence. </w:t>
      </w:r>
      <w:r>
        <w:t>Evidence: comparison of alerts and status displays with controlled incidents and actual backend state.</w:t>
      </w:r>
    </w:p>
    <w:p w:rsidR="00BB1AC7" w:rsidRDefault="00BB1AC7" w:rsidP="00BB1AC7">
      <w:pPr>
        <w:pStyle w:val="Heading2"/>
      </w:pPr>
      <w:r>
        <w:rPr>
          <w:rFonts w:ascii="Arial" w:hAnsi="Arial"/>
        </w:rPr>
        <w:t>6.4 Release and review rule</w:t>
      </w:r>
    </w:p>
    <w:p w:rsidR="004C46AC" w:rsidRDefault="00BB1AC7" w:rsidP="00BB1AC7">
      <w:pPr>
        <w:jc w:val="both"/>
      </w:pPr>
      <w:r>
        <w:t>Every beta capability must be linked to its applicable risks, controls, acceptance evidence and accountable owner. Functional success alone does not justify release when a high residual risk remains. The register should be reviewed at each implementation gate and whenever external infrastructure, data conditions or legal and ethical requirements change.</w:t>
      </w:r>
    </w:p>
    <w:p w:rsidR="00BB1AC7" w:rsidRPr="00F11D30" w:rsidRDefault="00BB1AC7" w:rsidP="00BB1AC7">
      <w:pPr>
        <w:jc w:val="both"/>
      </w:pPr>
    </w:p>
    <w:sectPr w:rsidR="00BB1AC7" w:rsidRPr="00F11D30" w:rsidSect="004C46AC">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3005A"/>
    <w:multiLevelType w:val="multilevel"/>
    <w:tmpl w:val="7638BB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55C5388"/>
    <w:multiLevelType w:val="multilevel"/>
    <w:tmpl w:val="93EADBE2"/>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7102EE3"/>
    <w:multiLevelType w:val="multilevel"/>
    <w:tmpl w:val="EFA64CC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6F4512E"/>
    <w:multiLevelType w:val="multilevel"/>
    <w:tmpl w:val="4DA2D8D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424D3CF9"/>
    <w:multiLevelType w:val="multilevel"/>
    <w:tmpl w:val="DE806C5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58976912"/>
    <w:multiLevelType w:val="multilevel"/>
    <w:tmpl w:val="6B6C6E4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79CF432C"/>
    <w:multiLevelType w:val="multilevel"/>
    <w:tmpl w:val="87565B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4"/>
  </w:num>
  <w:num w:numId="3">
    <w:abstractNumId w:val="0"/>
  </w:num>
  <w:num w:numId="4">
    <w:abstractNumId w:val="3"/>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autoHyphenation/>
  <w:characterSpacingControl w:val="doNotCompress"/>
  <w:compat>
    <w:useFELayout/>
  </w:compat>
  <w:rsids>
    <w:rsidRoot w:val="004C46AC"/>
    <w:rsid w:val="000C3A35"/>
    <w:rsid w:val="0026721E"/>
    <w:rsid w:val="00477ACD"/>
    <w:rsid w:val="004C46AC"/>
    <w:rsid w:val="00561B91"/>
    <w:rsid w:val="00592C5C"/>
    <w:rsid w:val="00610B0D"/>
    <w:rsid w:val="00A01F84"/>
    <w:rsid w:val="00A50088"/>
    <w:rsid w:val="00AC15C4"/>
    <w:rsid w:val="00B313C2"/>
    <w:rsid w:val="00BB1AC7"/>
    <w:rsid w:val="00C46F3B"/>
    <w:rsid w:val="00F11D30"/>
    <w:rsid w:val="00FA1E7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rsid w:val="004C46AC"/>
    <w:pPr>
      <w:keepNext/>
      <w:spacing w:before="240" w:after="120"/>
    </w:pPr>
    <w:rPr>
      <w:rFonts w:ascii="Liberation Sans" w:eastAsia="Microsoft YaHei" w:hAnsi="Liberation Sans" w:cs="Arial Unicode M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60" w:after="160" w:line="240" w:lineRule="auto"/>
    </w:pPr>
    <w:rPr>
      <w:b/>
      <w:bCs/>
      <w:i/>
      <w:color w:val="464646"/>
      <w:sz w:val="18"/>
      <w:szCs w:val="18"/>
    </w:rPr>
  </w:style>
  <w:style w:type="paragraph" w:customStyle="1" w:styleId="Index">
    <w:name w:val="Index"/>
    <w:basedOn w:val="Normal"/>
    <w:qFormat/>
    <w:rsid w:val="004C46AC"/>
    <w:pPr>
      <w:suppressLineNumbers/>
    </w:pPr>
    <w:rPr>
      <w:rFonts w:cs="Arial Unicode MS"/>
    </w:rPr>
  </w:style>
  <w:style w:type="paragraph" w:customStyle="1" w:styleId="HeaderandFooter">
    <w:name w:val="Header and Footer"/>
    <w:basedOn w:val="Normal"/>
    <w:qFormat/>
    <w:rsid w:val="004C46AC"/>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
      <w:sz w:val="36"/>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312" w:hanging="142"/>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rsid w:val="004C46AC"/>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6070-68BC-4F0E-9582-B181704F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1446</Words>
  <Characters>8243</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lastModifiedBy>Zaharije Radivojević</cp:lastModifiedBy>
  <cp:revision>15</cp:revision>
  <dcterms:created xsi:type="dcterms:W3CDTF">2013-12-23T23:15:00Z</dcterms:created>
  <dcterms:modified xsi:type="dcterms:W3CDTF">2026-07-22T08:09:00Z</dcterms:modified>
</cp:coreProperties>
</file>