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45AA4" w:rsidRDefault="00845AA4" w:rsidP="00845AA4">
      <w:pPr>
        <w:pStyle w:val="Heading1"/>
        <w:spacing w:before="0" w:after="280"/>
      </w:pPr>
      <w:bookmarkStart w:id="0" w:name="_Toc235485352"/>
      <w:bookmarkStart w:id="1" w:name="_Toc235485271"/>
      <w:bookmarkStart w:id="2" w:name="_Toc235485190"/>
      <w:bookmarkEnd w:id="0"/>
      <w:bookmarkEnd w:id="1"/>
      <w:bookmarkEnd w:id="2"/>
      <w:r>
        <w:t>7. Roadmap and Timeline</w:t>
      </w:r>
    </w:p>
    <w:p w:rsidR="00845AA4" w:rsidRDefault="00845AA4" w:rsidP="00845AA4">
      <w:r>
        <w:t>The AI Gateway is developed in Task 3.4 from M01 to M36. Deliverable D3.1, Design of the AI gateway, is due in M03. With the project starting on 1 May 2026, the principal month markers are M03 = July 2026, M12 = April 2027, M18 = October 2027 and M36 = April 2029. The contractual Gateway milestones and deliverables are separated below from the indicative internal implementation stages.</w:t>
      </w:r>
    </w:p>
    <w:p w:rsidR="00845AA4" w:rsidRDefault="00845AA4" w:rsidP="00845AA4">
      <w:pPr>
        <w:pStyle w:val="Heading2"/>
        <w:spacing w:before="280" w:after="280"/>
      </w:pPr>
      <w:bookmarkStart w:id="3" w:name="_Toc235485353"/>
      <w:bookmarkStart w:id="4" w:name="_Toc235485272"/>
      <w:bookmarkStart w:id="5" w:name="_Toc235485191"/>
      <w:bookmarkEnd w:id="3"/>
      <w:bookmarkEnd w:id="4"/>
      <w:bookmarkEnd w:id="5"/>
      <w:r>
        <w:t>7.1 Indicative implementation stages</w:t>
      </w:r>
    </w:p>
    <w:p w:rsidR="00845AA4" w:rsidRDefault="00845AA4" w:rsidP="00845AA4">
      <w:r>
        <w:t>The stages in Table 7.1 organise the broad target scope into an implementable sequence. They are planning stages rather than additional contractual deliverables. Priorities may be adjusted after stakeholder validation, proof-of-concept results, infrastructure constraints and risk review.</w:t>
      </w:r>
    </w:p>
    <w:tbl>
      <w:tblPr>
        <w:tblW w:w="9072" w:type="dxa"/>
        <w:jc w:val="center"/>
        <w:tblLayout w:type="fixed"/>
        <w:tblCellMar>
          <w:top w:w="95" w:type="dxa"/>
          <w:left w:w="95" w:type="dxa"/>
          <w:bottom w:w="95" w:type="dxa"/>
          <w:right w:w="95" w:type="dxa"/>
        </w:tblCellMar>
        <w:tblLook w:val="04A0"/>
      </w:tblPr>
      <w:tblGrid>
        <w:gridCol w:w="2269"/>
        <w:gridCol w:w="2268"/>
        <w:gridCol w:w="2268"/>
        <w:gridCol w:w="2267"/>
      </w:tblGrid>
      <w:tr w:rsidR="00845AA4" w:rsidTr="00263269">
        <w:trPr>
          <w:cantSplit/>
          <w:tblHeader/>
          <w:jc w:val="center"/>
        </w:trPr>
        <w:tc>
          <w:tcPr>
            <w:tcW w:w="2268" w:type="dxa"/>
            <w:tcBorders>
              <w:top w:val="single" w:sz="4" w:space="0" w:color="808080"/>
              <w:left w:val="single" w:sz="4" w:space="0" w:color="808080"/>
              <w:bottom w:val="single" w:sz="4" w:space="0" w:color="808080"/>
              <w:right w:val="single" w:sz="4" w:space="0" w:color="808080"/>
            </w:tcBorders>
            <w:shd w:val="clear" w:color="auto" w:fill="D9EAF7"/>
            <w:vAlign w:val="center"/>
          </w:tcPr>
          <w:p w:rsidR="00845AA4" w:rsidRDefault="00845AA4" w:rsidP="00263269">
            <w:pPr>
              <w:spacing w:after="0" w:line="240" w:lineRule="auto"/>
              <w:jc w:val="center"/>
            </w:pPr>
            <w:r>
              <w:rPr>
                <w:b/>
                <w:color w:val="1F4E79"/>
                <w:sz w:val="17"/>
              </w:rPr>
              <w:t>Stage</w:t>
            </w:r>
          </w:p>
        </w:tc>
        <w:tc>
          <w:tcPr>
            <w:tcW w:w="2268" w:type="dxa"/>
            <w:tcBorders>
              <w:top w:val="single" w:sz="4" w:space="0" w:color="808080"/>
              <w:left w:val="single" w:sz="4" w:space="0" w:color="808080"/>
              <w:bottom w:val="single" w:sz="4" w:space="0" w:color="808080"/>
              <w:right w:val="single" w:sz="4" w:space="0" w:color="808080"/>
            </w:tcBorders>
            <w:shd w:val="clear" w:color="auto" w:fill="D9EAF7"/>
            <w:vAlign w:val="center"/>
          </w:tcPr>
          <w:p w:rsidR="00845AA4" w:rsidRDefault="00845AA4" w:rsidP="00263269">
            <w:pPr>
              <w:spacing w:after="0" w:line="240" w:lineRule="auto"/>
              <w:jc w:val="center"/>
            </w:pPr>
            <w:r>
              <w:rPr>
                <w:b/>
                <w:color w:val="1F4E79"/>
                <w:sz w:val="17"/>
              </w:rPr>
              <w:t>Indicative window</w:t>
            </w:r>
          </w:p>
        </w:tc>
        <w:tc>
          <w:tcPr>
            <w:tcW w:w="2268" w:type="dxa"/>
            <w:tcBorders>
              <w:top w:val="single" w:sz="4" w:space="0" w:color="808080"/>
              <w:left w:val="single" w:sz="4" w:space="0" w:color="808080"/>
              <w:bottom w:val="single" w:sz="4" w:space="0" w:color="808080"/>
              <w:right w:val="single" w:sz="4" w:space="0" w:color="808080"/>
            </w:tcBorders>
            <w:shd w:val="clear" w:color="auto" w:fill="D9EAF7"/>
            <w:vAlign w:val="center"/>
          </w:tcPr>
          <w:p w:rsidR="00845AA4" w:rsidRDefault="00845AA4" w:rsidP="00263269">
            <w:pPr>
              <w:spacing w:after="0" w:line="240" w:lineRule="auto"/>
              <w:jc w:val="center"/>
            </w:pPr>
            <w:r>
              <w:rPr>
                <w:b/>
                <w:color w:val="1F4E79"/>
                <w:sz w:val="17"/>
              </w:rPr>
              <w:t>Primary focus</w:t>
            </w:r>
          </w:p>
        </w:tc>
        <w:tc>
          <w:tcPr>
            <w:tcW w:w="2267" w:type="dxa"/>
            <w:tcBorders>
              <w:top w:val="single" w:sz="4" w:space="0" w:color="808080"/>
              <w:left w:val="single" w:sz="4" w:space="0" w:color="808080"/>
              <w:bottom w:val="single" w:sz="4" w:space="0" w:color="808080"/>
              <w:right w:val="single" w:sz="4" w:space="0" w:color="808080"/>
            </w:tcBorders>
            <w:shd w:val="clear" w:color="auto" w:fill="D9EAF7"/>
            <w:vAlign w:val="center"/>
          </w:tcPr>
          <w:p w:rsidR="00845AA4" w:rsidRDefault="00845AA4" w:rsidP="00263269">
            <w:pPr>
              <w:spacing w:after="0" w:line="240" w:lineRule="auto"/>
              <w:jc w:val="center"/>
            </w:pPr>
            <w:r>
              <w:rPr>
                <w:b/>
                <w:color w:val="1F4E79"/>
                <w:sz w:val="17"/>
              </w:rPr>
              <w:t>Contractual anchor</w:t>
            </w:r>
          </w:p>
        </w:tc>
      </w:tr>
      <w:tr w:rsidR="00845AA4" w:rsidTr="00263269">
        <w:trPr>
          <w:cantSplit/>
          <w:jc w:val="center"/>
        </w:trPr>
        <w:tc>
          <w:tcPr>
            <w:tcW w:w="2268" w:type="dxa"/>
            <w:tcBorders>
              <w:top w:val="single" w:sz="4" w:space="0" w:color="A6A6A6"/>
              <w:left w:val="single" w:sz="4" w:space="0" w:color="A6A6A6"/>
              <w:bottom w:val="single" w:sz="4" w:space="0" w:color="A6A6A6"/>
              <w:right w:val="single" w:sz="4" w:space="0" w:color="A6A6A6"/>
            </w:tcBorders>
            <w:vAlign w:val="center"/>
          </w:tcPr>
          <w:p w:rsidR="00845AA4" w:rsidRDefault="00845AA4" w:rsidP="00263269">
            <w:pPr>
              <w:spacing w:after="0" w:line="240" w:lineRule="auto"/>
              <w:jc w:val="center"/>
            </w:pPr>
            <w:r>
              <w:rPr>
                <w:sz w:val="17"/>
              </w:rPr>
              <w:t>Initial design</w:t>
            </w:r>
          </w:p>
        </w:tc>
        <w:tc>
          <w:tcPr>
            <w:tcW w:w="2268" w:type="dxa"/>
            <w:tcBorders>
              <w:top w:val="single" w:sz="4" w:space="0" w:color="A6A6A6"/>
              <w:left w:val="single" w:sz="4" w:space="0" w:color="A6A6A6"/>
              <w:bottom w:val="single" w:sz="4" w:space="0" w:color="A6A6A6"/>
              <w:right w:val="single" w:sz="4" w:space="0" w:color="A6A6A6"/>
            </w:tcBorders>
            <w:vAlign w:val="center"/>
          </w:tcPr>
          <w:p w:rsidR="00845AA4" w:rsidRDefault="00845AA4" w:rsidP="00263269">
            <w:pPr>
              <w:spacing w:after="0" w:line="240" w:lineRule="auto"/>
              <w:jc w:val="left"/>
            </w:pPr>
            <w:r>
              <w:rPr>
                <w:sz w:val="17"/>
              </w:rPr>
              <w:t>M01-M03</w:t>
            </w:r>
          </w:p>
        </w:tc>
        <w:tc>
          <w:tcPr>
            <w:tcW w:w="2268" w:type="dxa"/>
            <w:tcBorders>
              <w:top w:val="single" w:sz="4" w:space="0" w:color="A6A6A6"/>
              <w:left w:val="single" w:sz="4" w:space="0" w:color="A6A6A6"/>
              <w:bottom w:val="single" w:sz="4" w:space="0" w:color="A6A6A6"/>
              <w:right w:val="single" w:sz="4" w:space="0" w:color="A6A6A6"/>
            </w:tcBorders>
            <w:vAlign w:val="center"/>
          </w:tcPr>
          <w:p w:rsidR="00845AA4" w:rsidRDefault="00845AA4" w:rsidP="00263269">
            <w:pPr>
              <w:spacing w:after="0" w:line="240" w:lineRule="auto"/>
              <w:jc w:val="left"/>
            </w:pPr>
            <w:r>
              <w:rPr>
                <w:sz w:val="17"/>
              </w:rPr>
              <w:t>Consolidate the project context, domain and system use cases, candidate technologies, roadmap and risks.</w:t>
            </w:r>
          </w:p>
        </w:tc>
        <w:tc>
          <w:tcPr>
            <w:tcW w:w="2267" w:type="dxa"/>
            <w:tcBorders>
              <w:top w:val="single" w:sz="4" w:space="0" w:color="A6A6A6"/>
              <w:left w:val="single" w:sz="4" w:space="0" w:color="A6A6A6"/>
              <w:bottom w:val="single" w:sz="4" w:space="0" w:color="A6A6A6"/>
              <w:right w:val="single" w:sz="4" w:space="0" w:color="A6A6A6"/>
            </w:tcBorders>
            <w:vAlign w:val="center"/>
          </w:tcPr>
          <w:p w:rsidR="00845AA4" w:rsidRDefault="00845AA4" w:rsidP="00263269">
            <w:pPr>
              <w:spacing w:after="0" w:line="240" w:lineRule="auto"/>
              <w:jc w:val="left"/>
            </w:pPr>
            <w:r>
              <w:rPr>
                <w:sz w:val="17"/>
              </w:rPr>
              <w:t>D3.1 and MS01 in M03.</w:t>
            </w:r>
          </w:p>
        </w:tc>
      </w:tr>
      <w:tr w:rsidR="00845AA4" w:rsidTr="00263269">
        <w:trPr>
          <w:cantSplit/>
          <w:jc w:val="center"/>
        </w:trPr>
        <w:tc>
          <w:tcPr>
            <w:tcW w:w="2268" w:type="dxa"/>
            <w:tcBorders>
              <w:top w:val="single" w:sz="4" w:space="0" w:color="A6A6A6"/>
              <w:left w:val="single" w:sz="4" w:space="0" w:color="A6A6A6"/>
              <w:bottom w:val="single" w:sz="4" w:space="0" w:color="A6A6A6"/>
              <w:right w:val="single" w:sz="4" w:space="0" w:color="A6A6A6"/>
            </w:tcBorders>
            <w:vAlign w:val="center"/>
          </w:tcPr>
          <w:p w:rsidR="00845AA4" w:rsidRDefault="00845AA4" w:rsidP="00263269">
            <w:pPr>
              <w:spacing w:after="0" w:line="240" w:lineRule="auto"/>
              <w:jc w:val="center"/>
            </w:pPr>
            <w:r>
              <w:rPr>
                <w:sz w:val="17"/>
              </w:rPr>
              <w:t>Beta implementation</w:t>
            </w:r>
          </w:p>
        </w:tc>
        <w:tc>
          <w:tcPr>
            <w:tcW w:w="2268" w:type="dxa"/>
            <w:tcBorders>
              <w:top w:val="single" w:sz="4" w:space="0" w:color="A6A6A6"/>
              <w:left w:val="single" w:sz="4" w:space="0" w:color="A6A6A6"/>
              <w:bottom w:val="single" w:sz="4" w:space="0" w:color="A6A6A6"/>
              <w:right w:val="single" w:sz="4" w:space="0" w:color="A6A6A6"/>
            </w:tcBorders>
            <w:vAlign w:val="center"/>
          </w:tcPr>
          <w:p w:rsidR="00845AA4" w:rsidRDefault="00845AA4" w:rsidP="00263269">
            <w:pPr>
              <w:spacing w:after="0" w:line="240" w:lineRule="auto"/>
              <w:jc w:val="left"/>
            </w:pPr>
            <w:r>
              <w:rPr>
                <w:sz w:val="17"/>
              </w:rPr>
              <w:t>M04-M12</w:t>
            </w:r>
          </w:p>
        </w:tc>
        <w:tc>
          <w:tcPr>
            <w:tcW w:w="2268" w:type="dxa"/>
            <w:tcBorders>
              <w:top w:val="single" w:sz="4" w:space="0" w:color="A6A6A6"/>
              <w:left w:val="single" w:sz="4" w:space="0" w:color="A6A6A6"/>
              <w:bottom w:val="single" w:sz="4" w:space="0" w:color="A6A6A6"/>
              <w:right w:val="single" w:sz="4" w:space="0" w:color="A6A6A6"/>
            </w:tcBorders>
            <w:vAlign w:val="center"/>
          </w:tcPr>
          <w:p w:rsidR="00845AA4" w:rsidRDefault="00845AA4" w:rsidP="00263269">
            <w:pPr>
              <w:spacing w:after="0" w:line="240" w:lineRule="auto"/>
              <w:jc w:val="left"/>
            </w:pPr>
            <w:r>
              <w:rPr>
                <w:sz w:val="17"/>
              </w:rPr>
              <w:t>Implement and integrate the minimum coherent user path: identity and access, portal and catalogue, basic data/model access, basic inference or job execution, monitoring, notifications, and links to support and training.</w:t>
            </w:r>
          </w:p>
        </w:tc>
        <w:tc>
          <w:tcPr>
            <w:tcW w:w="2267" w:type="dxa"/>
            <w:tcBorders>
              <w:top w:val="single" w:sz="4" w:space="0" w:color="A6A6A6"/>
              <w:left w:val="single" w:sz="4" w:space="0" w:color="A6A6A6"/>
              <w:bottom w:val="single" w:sz="4" w:space="0" w:color="A6A6A6"/>
              <w:right w:val="single" w:sz="4" w:space="0" w:color="A6A6A6"/>
            </w:tcBorders>
            <w:vAlign w:val="center"/>
          </w:tcPr>
          <w:p w:rsidR="00845AA4" w:rsidRDefault="00845AA4" w:rsidP="00263269">
            <w:pPr>
              <w:spacing w:after="0" w:line="240" w:lineRule="auto"/>
              <w:jc w:val="left"/>
            </w:pPr>
            <w:r>
              <w:rPr>
                <w:sz w:val="17"/>
              </w:rPr>
              <w:t>MS10 and MS11 in M12.</w:t>
            </w:r>
          </w:p>
        </w:tc>
      </w:tr>
      <w:tr w:rsidR="00845AA4" w:rsidTr="00263269">
        <w:trPr>
          <w:cantSplit/>
          <w:jc w:val="center"/>
        </w:trPr>
        <w:tc>
          <w:tcPr>
            <w:tcW w:w="2268" w:type="dxa"/>
            <w:tcBorders>
              <w:top w:val="single" w:sz="4" w:space="0" w:color="A6A6A6"/>
              <w:left w:val="single" w:sz="4" w:space="0" w:color="A6A6A6"/>
              <w:bottom w:val="single" w:sz="4" w:space="0" w:color="A6A6A6"/>
              <w:right w:val="single" w:sz="4" w:space="0" w:color="A6A6A6"/>
            </w:tcBorders>
            <w:vAlign w:val="center"/>
          </w:tcPr>
          <w:p w:rsidR="00845AA4" w:rsidRDefault="00845AA4" w:rsidP="00263269">
            <w:pPr>
              <w:spacing w:after="0" w:line="240" w:lineRule="auto"/>
              <w:jc w:val="left"/>
            </w:pPr>
            <w:r>
              <w:rPr>
                <w:sz w:val="17"/>
              </w:rPr>
              <w:t>Functionality consolidation</w:t>
            </w:r>
          </w:p>
        </w:tc>
        <w:tc>
          <w:tcPr>
            <w:tcW w:w="2268" w:type="dxa"/>
            <w:tcBorders>
              <w:top w:val="single" w:sz="4" w:space="0" w:color="A6A6A6"/>
              <w:left w:val="single" w:sz="4" w:space="0" w:color="A6A6A6"/>
              <w:bottom w:val="single" w:sz="4" w:space="0" w:color="A6A6A6"/>
              <w:right w:val="single" w:sz="4" w:space="0" w:color="A6A6A6"/>
            </w:tcBorders>
            <w:vAlign w:val="center"/>
          </w:tcPr>
          <w:p w:rsidR="00845AA4" w:rsidRDefault="00845AA4" w:rsidP="00263269">
            <w:pPr>
              <w:spacing w:after="0" w:line="240" w:lineRule="auto"/>
              <w:jc w:val="left"/>
            </w:pPr>
            <w:r>
              <w:rPr>
                <w:sz w:val="17"/>
              </w:rPr>
              <w:t>M13-M18</w:t>
            </w:r>
          </w:p>
        </w:tc>
        <w:tc>
          <w:tcPr>
            <w:tcW w:w="2268" w:type="dxa"/>
            <w:tcBorders>
              <w:top w:val="single" w:sz="4" w:space="0" w:color="A6A6A6"/>
              <w:left w:val="single" w:sz="4" w:space="0" w:color="A6A6A6"/>
              <w:bottom w:val="single" w:sz="4" w:space="0" w:color="A6A6A6"/>
              <w:right w:val="single" w:sz="4" w:space="0" w:color="A6A6A6"/>
            </w:tcBorders>
            <w:vAlign w:val="center"/>
          </w:tcPr>
          <w:p w:rsidR="00845AA4" w:rsidRDefault="00845AA4" w:rsidP="00263269">
            <w:pPr>
              <w:spacing w:after="0" w:line="240" w:lineRule="auto"/>
              <w:jc w:val="left"/>
            </w:pPr>
            <w:r>
              <w:rPr>
                <w:sz w:val="17"/>
              </w:rPr>
              <w:t>Extend and validate Gateway functionalities and features, integrate selected domain workflows, strengthen monitoring and model/data lifecycle support, and execute federation proofs of concept.</w:t>
            </w:r>
          </w:p>
        </w:tc>
        <w:tc>
          <w:tcPr>
            <w:tcW w:w="2267" w:type="dxa"/>
            <w:tcBorders>
              <w:top w:val="single" w:sz="4" w:space="0" w:color="A6A6A6"/>
              <w:left w:val="single" w:sz="4" w:space="0" w:color="A6A6A6"/>
              <w:bottom w:val="single" w:sz="4" w:space="0" w:color="A6A6A6"/>
              <w:right w:val="single" w:sz="4" w:space="0" w:color="A6A6A6"/>
            </w:tcBorders>
            <w:vAlign w:val="center"/>
          </w:tcPr>
          <w:p w:rsidR="00845AA4" w:rsidRDefault="00845AA4" w:rsidP="00263269">
            <w:pPr>
              <w:spacing w:after="0" w:line="240" w:lineRule="auto"/>
              <w:jc w:val="left"/>
            </w:pPr>
            <w:r>
              <w:rPr>
                <w:sz w:val="17"/>
              </w:rPr>
              <w:t>D3.4 in M18.</w:t>
            </w:r>
          </w:p>
        </w:tc>
      </w:tr>
      <w:tr w:rsidR="00845AA4" w:rsidTr="00263269">
        <w:trPr>
          <w:cantSplit/>
          <w:jc w:val="center"/>
        </w:trPr>
        <w:tc>
          <w:tcPr>
            <w:tcW w:w="2268" w:type="dxa"/>
            <w:tcBorders>
              <w:top w:val="single" w:sz="4" w:space="0" w:color="A6A6A6"/>
              <w:left w:val="single" w:sz="4" w:space="0" w:color="A6A6A6"/>
              <w:bottom w:val="single" w:sz="4" w:space="0" w:color="A6A6A6"/>
              <w:right w:val="single" w:sz="4" w:space="0" w:color="A6A6A6"/>
            </w:tcBorders>
            <w:vAlign w:val="center"/>
          </w:tcPr>
          <w:p w:rsidR="00845AA4" w:rsidRDefault="00845AA4" w:rsidP="00263269">
            <w:pPr>
              <w:spacing w:after="0" w:line="240" w:lineRule="auto"/>
              <w:jc w:val="left"/>
            </w:pPr>
            <w:r>
              <w:rPr>
                <w:sz w:val="17"/>
              </w:rPr>
              <w:t>Continued deployment and validation</w:t>
            </w:r>
          </w:p>
        </w:tc>
        <w:tc>
          <w:tcPr>
            <w:tcW w:w="2268" w:type="dxa"/>
            <w:tcBorders>
              <w:top w:val="single" w:sz="4" w:space="0" w:color="A6A6A6"/>
              <w:left w:val="single" w:sz="4" w:space="0" w:color="A6A6A6"/>
              <w:bottom w:val="single" w:sz="4" w:space="0" w:color="A6A6A6"/>
              <w:right w:val="single" w:sz="4" w:space="0" w:color="A6A6A6"/>
            </w:tcBorders>
            <w:vAlign w:val="center"/>
          </w:tcPr>
          <w:p w:rsidR="00845AA4" w:rsidRDefault="00845AA4" w:rsidP="00263269">
            <w:pPr>
              <w:spacing w:after="0" w:line="240" w:lineRule="auto"/>
              <w:jc w:val="left"/>
            </w:pPr>
            <w:r>
              <w:rPr>
                <w:sz w:val="17"/>
              </w:rPr>
              <w:t>M19-M36</w:t>
            </w:r>
          </w:p>
        </w:tc>
        <w:tc>
          <w:tcPr>
            <w:tcW w:w="2268" w:type="dxa"/>
            <w:tcBorders>
              <w:top w:val="single" w:sz="4" w:space="0" w:color="A6A6A6"/>
              <w:left w:val="single" w:sz="4" w:space="0" w:color="A6A6A6"/>
              <w:bottom w:val="single" w:sz="4" w:space="0" w:color="A6A6A6"/>
              <w:right w:val="single" w:sz="4" w:space="0" w:color="A6A6A6"/>
            </w:tcBorders>
            <w:vAlign w:val="center"/>
          </w:tcPr>
          <w:p w:rsidR="00845AA4" w:rsidRDefault="00845AA4" w:rsidP="00263269">
            <w:pPr>
              <w:spacing w:after="0" w:line="240" w:lineRule="auto"/>
              <w:jc w:val="left"/>
            </w:pPr>
            <w:r>
              <w:rPr>
                <w:sz w:val="17"/>
              </w:rPr>
              <w:t>Continue hardening, operational improvement, interoperability, domain integration, user support, training integration, validation and benchmarking.</w:t>
            </w:r>
          </w:p>
        </w:tc>
        <w:tc>
          <w:tcPr>
            <w:tcW w:w="2267" w:type="dxa"/>
            <w:tcBorders>
              <w:top w:val="single" w:sz="4" w:space="0" w:color="A6A6A6"/>
              <w:left w:val="single" w:sz="4" w:space="0" w:color="A6A6A6"/>
              <w:bottom w:val="single" w:sz="4" w:space="0" w:color="A6A6A6"/>
              <w:right w:val="single" w:sz="4" w:space="0" w:color="A6A6A6"/>
            </w:tcBorders>
            <w:vAlign w:val="center"/>
          </w:tcPr>
          <w:p w:rsidR="00845AA4" w:rsidRDefault="00845AA4" w:rsidP="00263269">
            <w:pPr>
              <w:spacing w:after="0" w:line="240" w:lineRule="auto"/>
              <w:jc w:val="left"/>
            </w:pPr>
            <w:r>
              <w:rPr>
                <w:sz w:val="17"/>
              </w:rPr>
              <w:t>T3.4 and T3.5 continue through M36; no separate M36 Gateway deliverable is listed in the Annex.</w:t>
            </w:r>
          </w:p>
        </w:tc>
      </w:tr>
    </w:tbl>
    <w:p w:rsidR="00845AA4" w:rsidRDefault="00845AA4" w:rsidP="00845AA4">
      <w:pPr>
        <w:pStyle w:val="Caption"/>
        <w:jc w:val="center"/>
      </w:pPr>
      <w:r>
        <w:t>Table 7.1. Indicative AI Gateway implementation stages.</w:t>
      </w:r>
    </w:p>
    <w:p w:rsidR="00845AA4" w:rsidRDefault="00845AA4" w:rsidP="00845AA4">
      <w:pPr>
        <w:pStyle w:val="Heading2"/>
        <w:spacing w:before="280" w:after="280"/>
      </w:pPr>
      <w:bookmarkStart w:id="6" w:name="_Toc235485354"/>
      <w:bookmarkStart w:id="7" w:name="_Toc235485273"/>
      <w:bookmarkStart w:id="8" w:name="_Toc235485192"/>
      <w:bookmarkEnd w:id="6"/>
      <w:bookmarkEnd w:id="7"/>
      <w:bookmarkEnd w:id="8"/>
      <w:r>
        <w:t>7.2 Contractual deliverables and milestones</w:t>
      </w:r>
    </w:p>
    <w:p w:rsidR="00845AA4" w:rsidRDefault="00845AA4" w:rsidP="00845AA4">
      <w:r>
        <w:t>The deliverables and milestones that directly frame the Gateway are listed in Table 7.2. They are taken from the SAIFA implementation details; the wider WP3 plan is shown in Figure 7.1.</w:t>
      </w:r>
    </w:p>
    <w:p w:rsidR="00845AA4" w:rsidRDefault="00845AA4" w:rsidP="00845AA4">
      <w:pPr>
        <w:jc w:val="center"/>
      </w:pPr>
      <w:r>
        <w:rPr>
          <w:noProof/>
          <w:lang w:eastAsia="en-GB"/>
        </w:rPr>
        <w:lastRenderedPageBreak/>
        <w:drawing>
          <wp:inline distT="0" distB="0" distL="0" distR="0">
            <wp:extent cx="6035040" cy="3123565"/>
            <wp:effectExtent l="0" t="0" r="0" b="0"/>
            <wp:docPr id="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pic:cNvPicPr>
                      <a:picLocks noChangeAspect="1" noChangeArrowheads="1"/>
                    </pic:cNvPicPr>
                  </pic:nvPicPr>
                  <pic:blipFill>
                    <a:blip r:embed="rId4" cstate="print"/>
                    <a:stretch>
                      <a:fillRect/>
                    </a:stretch>
                  </pic:blipFill>
                  <pic:spPr bwMode="auto">
                    <a:xfrm>
                      <a:off x="0" y="0"/>
                      <a:ext cx="6035040" cy="3123565"/>
                    </a:xfrm>
                    <a:prstGeom prst="rect">
                      <a:avLst/>
                    </a:prstGeom>
                  </pic:spPr>
                </pic:pic>
              </a:graphicData>
            </a:graphic>
          </wp:inline>
        </w:drawing>
      </w:r>
    </w:p>
    <w:p w:rsidR="00845AA4" w:rsidRDefault="00845AA4" w:rsidP="00845AA4">
      <w:pPr>
        <w:pStyle w:val="Caption"/>
        <w:jc w:val="center"/>
      </w:pPr>
      <w:r>
        <w:t>Figure 7.1. SAIFA implementation plan, highlighting WP3 and Task 3.4.</w:t>
      </w:r>
    </w:p>
    <w:tbl>
      <w:tblPr>
        <w:tblW w:w="9070" w:type="dxa"/>
        <w:jc w:val="center"/>
        <w:tblLayout w:type="fixed"/>
        <w:tblCellMar>
          <w:top w:w="95" w:type="dxa"/>
          <w:left w:w="95" w:type="dxa"/>
          <w:bottom w:w="95" w:type="dxa"/>
          <w:right w:w="95" w:type="dxa"/>
        </w:tblCellMar>
        <w:tblLook w:val="04A0"/>
      </w:tblPr>
      <w:tblGrid>
        <w:gridCol w:w="1814"/>
        <w:gridCol w:w="1814"/>
        <w:gridCol w:w="1814"/>
        <w:gridCol w:w="1814"/>
        <w:gridCol w:w="1814"/>
      </w:tblGrid>
      <w:tr w:rsidR="00845AA4" w:rsidTr="00263269">
        <w:trPr>
          <w:cantSplit/>
          <w:tblHeader/>
          <w:jc w:val="center"/>
        </w:trPr>
        <w:tc>
          <w:tcPr>
            <w:tcW w:w="1814" w:type="dxa"/>
            <w:tcBorders>
              <w:top w:val="single" w:sz="4" w:space="0" w:color="808080"/>
              <w:left w:val="single" w:sz="4" w:space="0" w:color="808080"/>
              <w:bottom w:val="single" w:sz="4" w:space="0" w:color="808080"/>
              <w:right w:val="single" w:sz="4" w:space="0" w:color="808080"/>
            </w:tcBorders>
            <w:shd w:val="clear" w:color="auto" w:fill="D9EAF7"/>
            <w:vAlign w:val="center"/>
          </w:tcPr>
          <w:p w:rsidR="00845AA4" w:rsidRDefault="00845AA4" w:rsidP="00263269">
            <w:pPr>
              <w:spacing w:after="0" w:line="240" w:lineRule="auto"/>
              <w:jc w:val="center"/>
            </w:pPr>
            <w:r>
              <w:rPr>
                <w:b/>
                <w:color w:val="1F4E79"/>
                <w:sz w:val="17"/>
              </w:rPr>
              <w:t>ID</w:t>
            </w:r>
          </w:p>
        </w:tc>
        <w:tc>
          <w:tcPr>
            <w:tcW w:w="1814" w:type="dxa"/>
            <w:tcBorders>
              <w:top w:val="single" w:sz="4" w:space="0" w:color="808080"/>
              <w:left w:val="single" w:sz="4" w:space="0" w:color="808080"/>
              <w:bottom w:val="single" w:sz="4" w:space="0" w:color="808080"/>
              <w:right w:val="single" w:sz="4" w:space="0" w:color="808080"/>
            </w:tcBorders>
            <w:shd w:val="clear" w:color="auto" w:fill="D9EAF7"/>
            <w:vAlign w:val="center"/>
          </w:tcPr>
          <w:p w:rsidR="00845AA4" w:rsidRDefault="00845AA4" w:rsidP="00263269">
            <w:pPr>
              <w:spacing w:after="0" w:line="240" w:lineRule="auto"/>
              <w:jc w:val="center"/>
            </w:pPr>
            <w:r>
              <w:rPr>
                <w:b/>
                <w:color w:val="1F4E79"/>
                <w:sz w:val="17"/>
              </w:rPr>
              <w:t>Deliverable or milestone</w:t>
            </w:r>
          </w:p>
        </w:tc>
        <w:tc>
          <w:tcPr>
            <w:tcW w:w="1814" w:type="dxa"/>
            <w:tcBorders>
              <w:top w:val="single" w:sz="4" w:space="0" w:color="808080"/>
              <w:left w:val="single" w:sz="4" w:space="0" w:color="808080"/>
              <w:bottom w:val="single" w:sz="4" w:space="0" w:color="808080"/>
              <w:right w:val="single" w:sz="4" w:space="0" w:color="808080"/>
            </w:tcBorders>
            <w:shd w:val="clear" w:color="auto" w:fill="D9EAF7"/>
            <w:vAlign w:val="center"/>
          </w:tcPr>
          <w:p w:rsidR="00845AA4" w:rsidRDefault="00845AA4" w:rsidP="00263269">
            <w:pPr>
              <w:spacing w:after="0" w:line="240" w:lineRule="auto"/>
              <w:jc w:val="center"/>
            </w:pPr>
            <w:r>
              <w:rPr>
                <w:b/>
                <w:color w:val="1F4E79"/>
                <w:sz w:val="17"/>
              </w:rPr>
              <w:t>WP / Task</w:t>
            </w:r>
          </w:p>
        </w:tc>
        <w:tc>
          <w:tcPr>
            <w:tcW w:w="1814" w:type="dxa"/>
            <w:tcBorders>
              <w:top w:val="single" w:sz="4" w:space="0" w:color="808080"/>
              <w:left w:val="single" w:sz="4" w:space="0" w:color="808080"/>
              <w:bottom w:val="single" w:sz="4" w:space="0" w:color="808080"/>
              <w:right w:val="single" w:sz="4" w:space="0" w:color="808080"/>
            </w:tcBorders>
            <w:shd w:val="clear" w:color="auto" w:fill="D9EAF7"/>
            <w:vAlign w:val="center"/>
          </w:tcPr>
          <w:p w:rsidR="00845AA4" w:rsidRDefault="00845AA4" w:rsidP="00263269">
            <w:pPr>
              <w:spacing w:after="0" w:line="240" w:lineRule="auto"/>
              <w:jc w:val="center"/>
            </w:pPr>
            <w:r>
              <w:rPr>
                <w:b/>
                <w:color w:val="1F4E79"/>
                <w:sz w:val="17"/>
              </w:rPr>
              <w:t>Due</w:t>
            </w:r>
          </w:p>
        </w:tc>
        <w:tc>
          <w:tcPr>
            <w:tcW w:w="1814" w:type="dxa"/>
            <w:tcBorders>
              <w:top w:val="single" w:sz="4" w:space="0" w:color="808080"/>
              <w:left w:val="single" w:sz="4" w:space="0" w:color="808080"/>
              <w:bottom w:val="single" w:sz="4" w:space="0" w:color="808080"/>
              <w:right w:val="single" w:sz="4" w:space="0" w:color="808080"/>
            </w:tcBorders>
            <w:shd w:val="clear" w:color="auto" w:fill="D9EAF7"/>
            <w:vAlign w:val="center"/>
          </w:tcPr>
          <w:p w:rsidR="00845AA4" w:rsidRDefault="00845AA4" w:rsidP="00263269">
            <w:pPr>
              <w:spacing w:after="0" w:line="240" w:lineRule="auto"/>
              <w:jc w:val="center"/>
            </w:pPr>
            <w:r>
              <w:rPr>
                <w:b/>
                <w:color w:val="1F4E79"/>
                <w:sz w:val="17"/>
              </w:rPr>
              <w:t>Means of verification</w:t>
            </w:r>
          </w:p>
        </w:tc>
      </w:tr>
      <w:tr w:rsidR="00845AA4" w:rsidTr="00263269">
        <w:trPr>
          <w:cantSplit/>
          <w:jc w:val="center"/>
        </w:trPr>
        <w:tc>
          <w:tcPr>
            <w:tcW w:w="1814" w:type="dxa"/>
            <w:tcBorders>
              <w:top w:val="single" w:sz="4" w:space="0" w:color="A6A6A6"/>
              <w:left w:val="single" w:sz="4" w:space="0" w:color="A6A6A6"/>
              <w:bottom w:val="single" w:sz="4" w:space="0" w:color="A6A6A6"/>
              <w:right w:val="single" w:sz="4" w:space="0" w:color="A6A6A6"/>
            </w:tcBorders>
            <w:vAlign w:val="center"/>
          </w:tcPr>
          <w:p w:rsidR="00845AA4" w:rsidRDefault="00845AA4" w:rsidP="00263269">
            <w:pPr>
              <w:spacing w:after="0" w:line="240" w:lineRule="auto"/>
              <w:jc w:val="center"/>
            </w:pPr>
            <w:r>
              <w:rPr>
                <w:sz w:val="17"/>
              </w:rPr>
              <w:t>D3.1</w:t>
            </w:r>
          </w:p>
        </w:tc>
        <w:tc>
          <w:tcPr>
            <w:tcW w:w="1814" w:type="dxa"/>
            <w:tcBorders>
              <w:top w:val="single" w:sz="4" w:space="0" w:color="A6A6A6"/>
              <w:left w:val="single" w:sz="4" w:space="0" w:color="A6A6A6"/>
              <w:bottom w:val="single" w:sz="4" w:space="0" w:color="A6A6A6"/>
              <w:right w:val="single" w:sz="4" w:space="0" w:color="A6A6A6"/>
            </w:tcBorders>
            <w:vAlign w:val="center"/>
          </w:tcPr>
          <w:p w:rsidR="00845AA4" w:rsidRDefault="00845AA4" w:rsidP="00263269">
            <w:pPr>
              <w:spacing w:after="0" w:line="240" w:lineRule="auto"/>
              <w:jc w:val="left"/>
            </w:pPr>
            <w:r>
              <w:rPr>
                <w:sz w:val="17"/>
              </w:rPr>
              <w:t>Design of the AI gateway</w:t>
            </w:r>
          </w:p>
        </w:tc>
        <w:tc>
          <w:tcPr>
            <w:tcW w:w="1814" w:type="dxa"/>
            <w:tcBorders>
              <w:top w:val="single" w:sz="4" w:space="0" w:color="A6A6A6"/>
              <w:left w:val="single" w:sz="4" w:space="0" w:color="A6A6A6"/>
              <w:bottom w:val="single" w:sz="4" w:space="0" w:color="A6A6A6"/>
              <w:right w:val="single" w:sz="4" w:space="0" w:color="A6A6A6"/>
            </w:tcBorders>
            <w:vAlign w:val="center"/>
          </w:tcPr>
          <w:p w:rsidR="00845AA4" w:rsidRDefault="00845AA4" w:rsidP="00263269">
            <w:pPr>
              <w:spacing w:after="0" w:line="240" w:lineRule="auto"/>
              <w:jc w:val="left"/>
            </w:pPr>
            <w:r>
              <w:rPr>
                <w:sz w:val="17"/>
              </w:rPr>
              <w:t>WP3 / T3.4</w:t>
            </w:r>
          </w:p>
        </w:tc>
        <w:tc>
          <w:tcPr>
            <w:tcW w:w="1814" w:type="dxa"/>
            <w:tcBorders>
              <w:top w:val="single" w:sz="4" w:space="0" w:color="A6A6A6"/>
              <w:left w:val="single" w:sz="4" w:space="0" w:color="A6A6A6"/>
              <w:bottom w:val="single" w:sz="4" w:space="0" w:color="A6A6A6"/>
              <w:right w:val="single" w:sz="4" w:space="0" w:color="A6A6A6"/>
            </w:tcBorders>
            <w:vAlign w:val="center"/>
          </w:tcPr>
          <w:p w:rsidR="00845AA4" w:rsidRDefault="00845AA4" w:rsidP="00263269">
            <w:pPr>
              <w:spacing w:after="0" w:line="240" w:lineRule="auto"/>
              <w:jc w:val="left"/>
            </w:pPr>
            <w:r>
              <w:rPr>
                <w:sz w:val="17"/>
              </w:rPr>
              <w:t>M03 (Jul 2026)</w:t>
            </w:r>
          </w:p>
        </w:tc>
        <w:tc>
          <w:tcPr>
            <w:tcW w:w="1814" w:type="dxa"/>
            <w:tcBorders>
              <w:top w:val="single" w:sz="4" w:space="0" w:color="A6A6A6"/>
              <w:left w:val="single" w:sz="4" w:space="0" w:color="A6A6A6"/>
              <w:bottom w:val="single" w:sz="4" w:space="0" w:color="A6A6A6"/>
              <w:right w:val="single" w:sz="4" w:space="0" w:color="A6A6A6"/>
            </w:tcBorders>
            <w:vAlign w:val="center"/>
          </w:tcPr>
          <w:p w:rsidR="00845AA4" w:rsidRDefault="00845AA4" w:rsidP="00263269">
            <w:pPr>
              <w:spacing w:after="0" w:line="240" w:lineRule="auto"/>
              <w:jc w:val="left"/>
            </w:pPr>
            <w:r>
              <w:rPr>
                <w:sz w:val="17"/>
              </w:rPr>
              <w:t>Comprehensive development plan submitted as a public deliverable.</w:t>
            </w:r>
          </w:p>
        </w:tc>
      </w:tr>
      <w:tr w:rsidR="00845AA4" w:rsidTr="00263269">
        <w:trPr>
          <w:cantSplit/>
          <w:jc w:val="center"/>
        </w:trPr>
        <w:tc>
          <w:tcPr>
            <w:tcW w:w="1814" w:type="dxa"/>
            <w:tcBorders>
              <w:top w:val="single" w:sz="4" w:space="0" w:color="A6A6A6"/>
              <w:left w:val="single" w:sz="4" w:space="0" w:color="A6A6A6"/>
              <w:bottom w:val="single" w:sz="4" w:space="0" w:color="A6A6A6"/>
              <w:right w:val="single" w:sz="4" w:space="0" w:color="A6A6A6"/>
            </w:tcBorders>
            <w:vAlign w:val="center"/>
          </w:tcPr>
          <w:p w:rsidR="00845AA4" w:rsidRDefault="00845AA4" w:rsidP="00263269">
            <w:pPr>
              <w:spacing w:after="0" w:line="240" w:lineRule="auto"/>
              <w:jc w:val="center"/>
            </w:pPr>
            <w:r>
              <w:rPr>
                <w:sz w:val="17"/>
              </w:rPr>
              <w:t>MS01</w:t>
            </w:r>
          </w:p>
        </w:tc>
        <w:tc>
          <w:tcPr>
            <w:tcW w:w="1814" w:type="dxa"/>
            <w:tcBorders>
              <w:top w:val="single" w:sz="4" w:space="0" w:color="A6A6A6"/>
              <w:left w:val="single" w:sz="4" w:space="0" w:color="A6A6A6"/>
              <w:bottom w:val="single" w:sz="4" w:space="0" w:color="A6A6A6"/>
              <w:right w:val="single" w:sz="4" w:space="0" w:color="A6A6A6"/>
            </w:tcBorders>
            <w:vAlign w:val="center"/>
          </w:tcPr>
          <w:p w:rsidR="00845AA4" w:rsidRDefault="00845AA4" w:rsidP="00263269">
            <w:pPr>
              <w:spacing w:after="0" w:line="240" w:lineRule="auto"/>
              <w:jc w:val="left"/>
            </w:pPr>
            <w:r>
              <w:rPr>
                <w:sz w:val="17"/>
              </w:rPr>
              <w:t>Access to infrastructure provided</w:t>
            </w:r>
          </w:p>
        </w:tc>
        <w:tc>
          <w:tcPr>
            <w:tcW w:w="1814" w:type="dxa"/>
            <w:tcBorders>
              <w:top w:val="single" w:sz="4" w:space="0" w:color="A6A6A6"/>
              <w:left w:val="single" w:sz="4" w:space="0" w:color="A6A6A6"/>
              <w:bottom w:val="single" w:sz="4" w:space="0" w:color="A6A6A6"/>
              <w:right w:val="single" w:sz="4" w:space="0" w:color="A6A6A6"/>
            </w:tcBorders>
            <w:vAlign w:val="center"/>
          </w:tcPr>
          <w:p w:rsidR="00845AA4" w:rsidRDefault="00845AA4" w:rsidP="00263269">
            <w:pPr>
              <w:spacing w:after="0" w:line="240" w:lineRule="auto"/>
              <w:jc w:val="left"/>
            </w:pPr>
            <w:r>
              <w:rPr>
                <w:sz w:val="17"/>
              </w:rPr>
              <w:t>WP3</w:t>
            </w:r>
          </w:p>
        </w:tc>
        <w:tc>
          <w:tcPr>
            <w:tcW w:w="1814" w:type="dxa"/>
            <w:tcBorders>
              <w:top w:val="single" w:sz="4" w:space="0" w:color="A6A6A6"/>
              <w:left w:val="single" w:sz="4" w:space="0" w:color="A6A6A6"/>
              <w:bottom w:val="single" w:sz="4" w:space="0" w:color="A6A6A6"/>
              <w:right w:val="single" w:sz="4" w:space="0" w:color="A6A6A6"/>
            </w:tcBorders>
            <w:vAlign w:val="center"/>
          </w:tcPr>
          <w:p w:rsidR="00845AA4" w:rsidRDefault="00845AA4" w:rsidP="00263269">
            <w:pPr>
              <w:spacing w:after="0" w:line="240" w:lineRule="auto"/>
              <w:jc w:val="left"/>
            </w:pPr>
            <w:r>
              <w:rPr>
                <w:sz w:val="17"/>
              </w:rPr>
              <w:t>M03 (Jul 2026)</w:t>
            </w:r>
          </w:p>
        </w:tc>
        <w:tc>
          <w:tcPr>
            <w:tcW w:w="1814" w:type="dxa"/>
            <w:tcBorders>
              <w:top w:val="single" w:sz="4" w:space="0" w:color="A6A6A6"/>
              <w:left w:val="single" w:sz="4" w:space="0" w:color="A6A6A6"/>
              <w:bottom w:val="single" w:sz="4" w:space="0" w:color="A6A6A6"/>
              <w:right w:val="single" w:sz="4" w:space="0" w:color="A6A6A6"/>
            </w:tcBorders>
            <w:vAlign w:val="center"/>
          </w:tcPr>
          <w:p w:rsidR="00845AA4" w:rsidRDefault="00845AA4" w:rsidP="00263269">
            <w:pPr>
              <w:spacing w:after="0" w:line="240" w:lineRule="auto"/>
              <w:jc w:val="left"/>
            </w:pPr>
            <w:r>
              <w:rPr>
                <w:sz w:val="17"/>
              </w:rPr>
              <w:t>User accounts created on the national infrastructure resources.</w:t>
            </w:r>
          </w:p>
        </w:tc>
      </w:tr>
      <w:tr w:rsidR="00845AA4" w:rsidTr="00263269">
        <w:trPr>
          <w:cantSplit/>
          <w:jc w:val="center"/>
        </w:trPr>
        <w:tc>
          <w:tcPr>
            <w:tcW w:w="1814" w:type="dxa"/>
            <w:tcBorders>
              <w:top w:val="single" w:sz="4" w:space="0" w:color="A6A6A6"/>
              <w:left w:val="single" w:sz="4" w:space="0" w:color="A6A6A6"/>
              <w:bottom w:val="single" w:sz="4" w:space="0" w:color="A6A6A6"/>
              <w:right w:val="single" w:sz="4" w:space="0" w:color="A6A6A6"/>
            </w:tcBorders>
            <w:vAlign w:val="center"/>
          </w:tcPr>
          <w:p w:rsidR="00845AA4" w:rsidRDefault="00845AA4" w:rsidP="00263269">
            <w:pPr>
              <w:spacing w:after="0" w:line="240" w:lineRule="auto"/>
              <w:jc w:val="center"/>
            </w:pPr>
            <w:r>
              <w:rPr>
                <w:sz w:val="17"/>
              </w:rPr>
              <w:t>MS10</w:t>
            </w:r>
          </w:p>
        </w:tc>
        <w:tc>
          <w:tcPr>
            <w:tcW w:w="1814" w:type="dxa"/>
            <w:tcBorders>
              <w:top w:val="single" w:sz="4" w:space="0" w:color="A6A6A6"/>
              <w:left w:val="single" w:sz="4" w:space="0" w:color="A6A6A6"/>
              <w:bottom w:val="single" w:sz="4" w:space="0" w:color="A6A6A6"/>
              <w:right w:val="single" w:sz="4" w:space="0" w:color="A6A6A6"/>
            </w:tcBorders>
            <w:vAlign w:val="center"/>
          </w:tcPr>
          <w:p w:rsidR="00845AA4" w:rsidRDefault="00845AA4" w:rsidP="00263269">
            <w:pPr>
              <w:spacing w:after="0" w:line="240" w:lineRule="auto"/>
              <w:jc w:val="left"/>
            </w:pPr>
            <w:r>
              <w:rPr>
                <w:sz w:val="17"/>
              </w:rPr>
              <w:t>Access and use policies</w:t>
            </w:r>
          </w:p>
        </w:tc>
        <w:tc>
          <w:tcPr>
            <w:tcW w:w="1814" w:type="dxa"/>
            <w:tcBorders>
              <w:top w:val="single" w:sz="4" w:space="0" w:color="A6A6A6"/>
              <w:left w:val="single" w:sz="4" w:space="0" w:color="A6A6A6"/>
              <w:bottom w:val="single" w:sz="4" w:space="0" w:color="A6A6A6"/>
              <w:right w:val="single" w:sz="4" w:space="0" w:color="A6A6A6"/>
            </w:tcBorders>
            <w:vAlign w:val="center"/>
          </w:tcPr>
          <w:p w:rsidR="00845AA4" w:rsidRDefault="00845AA4" w:rsidP="00263269">
            <w:pPr>
              <w:spacing w:after="0" w:line="240" w:lineRule="auto"/>
              <w:jc w:val="left"/>
            </w:pPr>
            <w:r>
              <w:rPr>
                <w:sz w:val="17"/>
              </w:rPr>
              <w:t>WP3</w:t>
            </w:r>
          </w:p>
        </w:tc>
        <w:tc>
          <w:tcPr>
            <w:tcW w:w="1814" w:type="dxa"/>
            <w:tcBorders>
              <w:top w:val="single" w:sz="4" w:space="0" w:color="A6A6A6"/>
              <w:left w:val="single" w:sz="4" w:space="0" w:color="A6A6A6"/>
              <w:bottom w:val="single" w:sz="4" w:space="0" w:color="A6A6A6"/>
              <w:right w:val="single" w:sz="4" w:space="0" w:color="A6A6A6"/>
            </w:tcBorders>
            <w:vAlign w:val="center"/>
          </w:tcPr>
          <w:p w:rsidR="00845AA4" w:rsidRDefault="00845AA4" w:rsidP="00263269">
            <w:pPr>
              <w:spacing w:after="0" w:line="240" w:lineRule="auto"/>
              <w:jc w:val="left"/>
            </w:pPr>
            <w:r>
              <w:rPr>
                <w:sz w:val="17"/>
              </w:rPr>
              <w:t>M12 (Apr 2027)</w:t>
            </w:r>
          </w:p>
        </w:tc>
        <w:tc>
          <w:tcPr>
            <w:tcW w:w="1814" w:type="dxa"/>
            <w:tcBorders>
              <w:top w:val="single" w:sz="4" w:space="0" w:color="A6A6A6"/>
              <w:left w:val="single" w:sz="4" w:space="0" w:color="A6A6A6"/>
              <w:bottom w:val="single" w:sz="4" w:space="0" w:color="A6A6A6"/>
              <w:right w:val="single" w:sz="4" w:space="0" w:color="A6A6A6"/>
            </w:tcBorders>
            <w:vAlign w:val="center"/>
          </w:tcPr>
          <w:p w:rsidR="00845AA4" w:rsidRDefault="00845AA4" w:rsidP="00263269">
            <w:pPr>
              <w:spacing w:after="0" w:line="240" w:lineRule="auto"/>
              <w:jc w:val="left"/>
            </w:pPr>
            <w:r>
              <w:rPr>
                <w:sz w:val="17"/>
              </w:rPr>
              <w:t>Access and use policies available online.</w:t>
            </w:r>
          </w:p>
        </w:tc>
      </w:tr>
      <w:tr w:rsidR="00845AA4" w:rsidTr="00263269">
        <w:trPr>
          <w:cantSplit/>
          <w:jc w:val="center"/>
        </w:trPr>
        <w:tc>
          <w:tcPr>
            <w:tcW w:w="1814" w:type="dxa"/>
            <w:tcBorders>
              <w:top w:val="single" w:sz="4" w:space="0" w:color="A6A6A6"/>
              <w:left w:val="single" w:sz="4" w:space="0" w:color="A6A6A6"/>
              <w:bottom w:val="single" w:sz="4" w:space="0" w:color="A6A6A6"/>
              <w:right w:val="single" w:sz="4" w:space="0" w:color="A6A6A6"/>
            </w:tcBorders>
            <w:vAlign w:val="center"/>
          </w:tcPr>
          <w:p w:rsidR="00845AA4" w:rsidRDefault="00845AA4" w:rsidP="00263269">
            <w:pPr>
              <w:spacing w:after="0" w:line="240" w:lineRule="auto"/>
              <w:jc w:val="center"/>
            </w:pPr>
            <w:r>
              <w:rPr>
                <w:sz w:val="17"/>
              </w:rPr>
              <w:t>MS11</w:t>
            </w:r>
          </w:p>
        </w:tc>
        <w:tc>
          <w:tcPr>
            <w:tcW w:w="1814" w:type="dxa"/>
            <w:tcBorders>
              <w:top w:val="single" w:sz="4" w:space="0" w:color="A6A6A6"/>
              <w:left w:val="single" w:sz="4" w:space="0" w:color="A6A6A6"/>
              <w:bottom w:val="single" w:sz="4" w:space="0" w:color="A6A6A6"/>
              <w:right w:val="single" w:sz="4" w:space="0" w:color="A6A6A6"/>
            </w:tcBorders>
            <w:vAlign w:val="center"/>
          </w:tcPr>
          <w:p w:rsidR="00845AA4" w:rsidRDefault="00845AA4" w:rsidP="00263269">
            <w:pPr>
              <w:spacing w:after="0" w:line="240" w:lineRule="auto"/>
              <w:jc w:val="left"/>
            </w:pPr>
            <w:r>
              <w:rPr>
                <w:sz w:val="17"/>
              </w:rPr>
              <w:t>Beta version of AI gateway</w:t>
            </w:r>
          </w:p>
        </w:tc>
        <w:tc>
          <w:tcPr>
            <w:tcW w:w="1814" w:type="dxa"/>
            <w:tcBorders>
              <w:top w:val="single" w:sz="4" w:space="0" w:color="A6A6A6"/>
              <w:left w:val="single" w:sz="4" w:space="0" w:color="A6A6A6"/>
              <w:bottom w:val="single" w:sz="4" w:space="0" w:color="A6A6A6"/>
              <w:right w:val="single" w:sz="4" w:space="0" w:color="A6A6A6"/>
            </w:tcBorders>
            <w:vAlign w:val="center"/>
          </w:tcPr>
          <w:p w:rsidR="00845AA4" w:rsidRDefault="00845AA4" w:rsidP="00263269">
            <w:pPr>
              <w:spacing w:after="0" w:line="240" w:lineRule="auto"/>
              <w:jc w:val="left"/>
            </w:pPr>
            <w:r>
              <w:rPr>
                <w:sz w:val="17"/>
              </w:rPr>
              <w:t>WP3 / T3.4</w:t>
            </w:r>
          </w:p>
        </w:tc>
        <w:tc>
          <w:tcPr>
            <w:tcW w:w="1814" w:type="dxa"/>
            <w:tcBorders>
              <w:top w:val="single" w:sz="4" w:space="0" w:color="A6A6A6"/>
              <w:left w:val="single" w:sz="4" w:space="0" w:color="A6A6A6"/>
              <w:bottom w:val="single" w:sz="4" w:space="0" w:color="A6A6A6"/>
              <w:right w:val="single" w:sz="4" w:space="0" w:color="A6A6A6"/>
            </w:tcBorders>
            <w:vAlign w:val="center"/>
          </w:tcPr>
          <w:p w:rsidR="00845AA4" w:rsidRDefault="00845AA4" w:rsidP="00263269">
            <w:pPr>
              <w:spacing w:after="0" w:line="240" w:lineRule="auto"/>
              <w:jc w:val="left"/>
            </w:pPr>
            <w:r>
              <w:rPr>
                <w:sz w:val="17"/>
              </w:rPr>
              <w:t>M12 (Apr 2027)</w:t>
            </w:r>
          </w:p>
        </w:tc>
        <w:tc>
          <w:tcPr>
            <w:tcW w:w="1814" w:type="dxa"/>
            <w:tcBorders>
              <w:top w:val="single" w:sz="4" w:space="0" w:color="A6A6A6"/>
              <w:left w:val="single" w:sz="4" w:space="0" w:color="A6A6A6"/>
              <w:bottom w:val="single" w:sz="4" w:space="0" w:color="A6A6A6"/>
              <w:right w:val="single" w:sz="4" w:space="0" w:color="A6A6A6"/>
            </w:tcBorders>
            <w:vAlign w:val="center"/>
          </w:tcPr>
          <w:p w:rsidR="00845AA4" w:rsidRDefault="00845AA4" w:rsidP="00263269">
            <w:pPr>
              <w:spacing w:after="0" w:line="240" w:lineRule="auto"/>
              <w:jc w:val="left"/>
            </w:pPr>
            <w:r>
              <w:rPr>
                <w:sz w:val="17"/>
              </w:rPr>
              <w:t>AI Gateway available online.</w:t>
            </w:r>
          </w:p>
        </w:tc>
      </w:tr>
      <w:tr w:rsidR="00845AA4" w:rsidTr="00263269">
        <w:trPr>
          <w:cantSplit/>
          <w:jc w:val="center"/>
        </w:trPr>
        <w:tc>
          <w:tcPr>
            <w:tcW w:w="1814" w:type="dxa"/>
            <w:tcBorders>
              <w:top w:val="single" w:sz="4" w:space="0" w:color="A6A6A6"/>
              <w:left w:val="single" w:sz="4" w:space="0" w:color="A6A6A6"/>
              <w:bottom w:val="single" w:sz="4" w:space="0" w:color="A6A6A6"/>
              <w:right w:val="single" w:sz="4" w:space="0" w:color="A6A6A6"/>
            </w:tcBorders>
            <w:vAlign w:val="center"/>
          </w:tcPr>
          <w:p w:rsidR="00845AA4" w:rsidRDefault="00845AA4" w:rsidP="00263269">
            <w:pPr>
              <w:spacing w:after="0" w:line="240" w:lineRule="auto"/>
              <w:jc w:val="center"/>
            </w:pPr>
            <w:r>
              <w:rPr>
                <w:sz w:val="17"/>
              </w:rPr>
              <w:t>D3.4</w:t>
            </w:r>
          </w:p>
        </w:tc>
        <w:tc>
          <w:tcPr>
            <w:tcW w:w="1814" w:type="dxa"/>
            <w:tcBorders>
              <w:top w:val="single" w:sz="4" w:space="0" w:color="A6A6A6"/>
              <w:left w:val="single" w:sz="4" w:space="0" w:color="A6A6A6"/>
              <w:bottom w:val="single" w:sz="4" w:space="0" w:color="A6A6A6"/>
              <w:right w:val="single" w:sz="4" w:space="0" w:color="A6A6A6"/>
            </w:tcBorders>
            <w:vAlign w:val="center"/>
          </w:tcPr>
          <w:p w:rsidR="00845AA4" w:rsidRDefault="00845AA4" w:rsidP="00263269">
            <w:pPr>
              <w:spacing w:after="0" w:line="240" w:lineRule="auto"/>
              <w:jc w:val="left"/>
            </w:pPr>
            <w:r>
              <w:rPr>
                <w:sz w:val="17"/>
              </w:rPr>
              <w:t>AI gateway functionalities and features</w:t>
            </w:r>
          </w:p>
        </w:tc>
        <w:tc>
          <w:tcPr>
            <w:tcW w:w="1814" w:type="dxa"/>
            <w:tcBorders>
              <w:top w:val="single" w:sz="4" w:space="0" w:color="A6A6A6"/>
              <w:left w:val="single" w:sz="4" w:space="0" w:color="A6A6A6"/>
              <w:bottom w:val="single" w:sz="4" w:space="0" w:color="A6A6A6"/>
              <w:right w:val="single" w:sz="4" w:space="0" w:color="A6A6A6"/>
            </w:tcBorders>
            <w:vAlign w:val="center"/>
          </w:tcPr>
          <w:p w:rsidR="00845AA4" w:rsidRDefault="00845AA4" w:rsidP="00263269">
            <w:pPr>
              <w:spacing w:after="0" w:line="240" w:lineRule="auto"/>
              <w:jc w:val="left"/>
            </w:pPr>
            <w:r>
              <w:rPr>
                <w:sz w:val="17"/>
              </w:rPr>
              <w:t>WP3 / T3.4</w:t>
            </w:r>
          </w:p>
        </w:tc>
        <w:tc>
          <w:tcPr>
            <w:tcW w:w="1814" w:type="dxa"/>
            <w:tcBorders>
              <w:top w:val="single" w:sz="4" w:space="0" w:color="A6A6A6"/>
              <w:left w:val="single" w:sz="4" w:space="0" w:color="A6A6A6"/>
              <w:bottom w:val="single" w:sz="4" w:space="0" w:color="A6A6A6"/>
              <w:right w:val="single" w:sz="4" w:space="0" w:color="A6A6A6"/>
            </w:tcBorders>
            <w:vAlign w:val="center"/>
          </w:tcPr>
          <w:p w:rsidR="00845AA4" w:rsidRDefault="00845AA4" w:rsidP="00263269">
            <w:pPr>
              <w:spacing w:after="0" w:line="240" w:lineRule="auto"/>
              <w:jc w:val="left"/>
            </w:pPr>
            <w:r>
              <w:rPr>
                <w:sz w:val="17"/>
              </w:rPr>
              <w:t>M18 (Oct 2027)</w:t>
            </w:r>
          </w:p>
        </w:tc>
        <w:tc>
          <w:tcPr>
            <w:tcW w:w="1814" w:type="dxa"/>
            <w:tcBorders>
              <w:top w:val="single" w:sz="4" w:space="0" w:color="A6A6A6"/>
              <w:left w:val="single" w:sz="4" w:space="0" w:color="A6A6A6"/>
              <w:bottom w:val="single" w:sz="4" w:space="0" w:color="A6A6A6"/>
              <w:right w:val="single" w:sz="4" w:space="0" w:color="A6A6A6"/>
            </w:tcBorders>
            <w:vAlign w:val="center"/>
          </w:tcPr>
          <w:p w:rsidR="00845AA4" w:rsidRDefault="00845AA4" w:rsidP="00263269">
            <w:pPr>
              <w:spacing w:after="0" w:line="240" w:lineRule="auto"/>
              <w:jc w:val="left"/>
            </w:pPr>
            <w:r>
              <w:rPr>
                <w:sz w:val="17"/>
              </w:rPr>
              <w:t>Detailed overview of implemented Gateway functionalities and features submitted.</w:t>
            </w:r>
          </w:p>
        </w:tc>
      </w:tr>
    </w:tbl>
    <w:p w:rsidR="00845AA4" w:rsidRDefault="00845AA4" w:rsidP="00845AA4">
      <w:pPr>
        <w:pStyle w:val="Caption"/>
        <w:jc w:val="center"/>
      </w:pPr>
      <w:r>
        <w:t>Table 7.2. Contractual deliverables and milestones relevant to the AI Gateway.</w:t>
      </w:r>
    </w:p>
    <w:p w:rsidR="00845AA4" w:rsidRDefault="00845AA4" w:rsidP="00845AA4">
      <w:pPr>
        <w:pStyle w:val="Heading2"/>
        <w:spacing w:before="280" w:after="280"/>
      </w:pPr>
      <w:bookmarkStart w:id="9" w:name="_Toc235485355"/>
      <w:bookmarkStart w:id="10" w:name="_Toc235485274"/>
      <w:bookmarkStart w:id="11" w:name="_Toc235485193"/>
      <w:bookmarkEnd w:id="9"/>
      <w:bookmarkEnd w:id="10"/>
      <w:bookmarkEnd w:id="11"/>
      <w:r>
        <w:t>7.3 Testing and validation plan</w:t>
      </w:r>
    </w:p>
    <w:p w:rsidR="00845AA4" w:rsidRDefault="00845AA4" w:rsidP="00845AA4">
      <w:r>
        <w:t>Testing follows the two-stage model described in WP3: development, integration and preliminary validation on the national infrastructure, followed by final testing and performance benchmarking using the Greek and Italian AI Factory infrastructures. The principal activities are:</w:t>
      </w:r>
    </w:p>
    <w:p w:rsidR="00845AA4" w:rsidRDefault="00845AA4" w:rsidP="00845AA4">
      <w:pPr>
        <w:pStyle w:val="ListParagraph1"/>
      </w:pPr>
      <w:r>
        <w:t>• Continuous development and integration testing (M01-M36). Gateway services and domain workflows are integrated and tested on PARADOX and the ITE AI infrastructure provided through T3.2 and T3.3.</w:t>
      </w:r>
    </w:p>
    <w:p w:rsidR="00845AA4" w:rsidRDefault="00845AA4" w:rsidP="00845AA4">
      <w:pPr>
        <w:pStyle w:val="ListParagraph1"/>
      </w:pPr>
      <w:r>
        <w:lastRenderedPageBreak/>
        <w:t>• Internal validation before wider access. Consortium users, WP4 domain owners and WP5 support and training teams validate the agreed scenarios before they are opened to broader user groups.</w:t>
      </w:r>
    </w:p>
    <w:p w:rsidR="00845AA4" w:rsidRDefault="00845AA4" w:rsidP="00845AA4">
      <w:pPr>
        <w:pStyle w:val="ListParagraph1"/>
      </w:pPr>
      <w:r>
        <w:t>• Beta validation (M12). MS11 demonstrates an online beta version together with the access and use policies delivered under MS10. The beta must support at least one coherent end-to-end path through identity, discovery, execution and monitoring.</w:t>
      </w:r>
    </w:p>
    <w:p w:rsidR="00845AA4" w:rsidRDefault="00845AA4" w:rsidP="00845AA4">
      <w:pPr>
        <w:pStyle w:val="ListParagraph1"/>
      </w:pPr>
      <w:r>
        <w:t>• Functionality and feature validation (M18). D3.4 records the implemented functions and evidence obtained from integration, user and interoperability testing.</w:t>
      </w:r>
    </w:p>
    <w:p w:rsidR="00845AA4" w:rsidRDefault="00845AA4" w:rsidP="00845AA4">
      <w:pPr>
        <w:pStyle w:val="ListParagraph1"/>
      </w:pPr>
      <w:r>
        <w:t>• Greek and Italian infrastructure testing. Access policies and integration protocols developed with the Pharos and IT4LIA teams are used for final testing and performance benchmarking of selected applications and Gateway interactions.</w:t>
      </w:r>
    </w:p>
    <w:p w:rsidR="00994024" w:rsidRDefault="00845AA4" w:rsidP="004870ED">
      <w:pPr>
        <w:pStyle w:val="ListParagraph1"/>
      </w:pPr>
      <w:r>
        <w:t>• Security, compliance and operational acceptance. Access control, auditability, data governance, transfer integrity, recovery and relevant legal and ethical conditions are verified before a function is accepted for external use.</w:t>
      </w:r>
    </w:p>
    <w:p w:rsidR="004870ED" w:rsidRPr="00392B9C" w:rsidRDefault="004870ED" w:rsidP="004870ED">
      <w:pPr>
        <w:pStyle w:val="ListParagraph1"/>
      </w:pPr>
    </w:p>
    <w:sectPr w:rsidR="004870ED" w:rsidRPr="00392B9C" w:rsidSect="00994024">
      <w:pgSz w:w="11906" w:h="16838"/>
      <w:pgMar w:top="1134" w:right="1134" w:bottom="1134" w:left="1134" w:header="0" w:footer="0" w:gutter="0"/>
      <w:cols w:space="720"/>
      <w:formProt w:val="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00"/>
    <w:family w:val="roman"/>
    <w:notTrueType/>
    <w:pitch w:val="default"/>
    <w:sig w:usb0="00000000" w:usb1="00000000" w:usb2="00000000" w:usb3="00000000" w:csb0="00000000" w:csb1="00000000"/>
  </w:font>
  <w:font w:name="Arial Unicode MS">
    <w:panose1 w:val="020B0604020202020204"/>
    <w:charset w:val="80"/>
    <w:family w:val="swiss"/>
    <w:pitch w:val="variable"/>
    <w:sig w:usb0="F7FFAFFF" w:usb1="E9DFFFFF" w:usb2="0000003F" w:usb3="00000000" w:csb0="003F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defaultTabStop w:val="720"/>
  <w:autoHyphenation/>
  <w:characterSpacingControl w:val="doNotCompress"/>
  <w:compat/>
  <w:rsids>
    <w:rsidRoot w:val="00994024"/>
    <w:rsid w:val="00026988"/>
    <w:rsid w:val="000850E2"/>
    <w:rsid w:val="001103FE"/>
    <w:rsid w:val="00140D44"/>
    <w:rsid w:val="00211579"/>
    <w:rsid w:val="00290833"/>
    <w:rsid w:val="00392B9C"/>
    <w:rsid w:val="004870ED"/>
    <w:rsid w:val="006417FD"/>
    <w:rsid w:val="00845AA4"/>
    <w:rsid w:val="00847769"/>
    <w:rsid w:val="00994024"/>
    <w:rsid w:val="00A46F8C"/>
    <w:rsid w:val="00A87D1A"/>
    <w:rsid w:val="00BC57D4"/>
    <w:rsid w:val="00E34BB5"/>
    <w:rsid w:val="00EF2216"/>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7EE6"/>
    <w:pPr>
      <w:spacing w:before="120" w:after="100" w:line="259" w:lineRule="auto"/>
      <w:jc w:val="both"/>
    </w:pPr>
    <w:rPr>
      <w:rFonts w:ascii="Arial" w:eastAsia="Trebuchet MS" w:hAnsi="Arial" w:cs="Trebuchet MS"/>
      <w:sz w:val="21"/>
    </w:rPr>
  </w:style>
  <w:style w:type="paragraph" w:styleId="Heading1">
    <w:name w:val="heading 1"/>
    <w:basedOn w:val="Normal"/>
    <w:link w:val="Heading1Char"/>
    <w:uiPriority w:val="9"/>
    <w:qFormat/>
    <w:rsid w:val="00B20160"/>
    <w:pPr>
      <w:keepNext/>
      <w:spacing w:beforeAutospacing="1" w:afterAutospacing="1"/>
      <w:jc w:val="left"/>
      <w:outlineLvl w:val="0"/>
    </w:pPr>
    <w:rPr>
      <w:rFonts w:eastAsia="Times New Roman" w:cs="Times New Roman"/>
      <w:b/>
      <w:bCs/>
      <w:color w:val="1F4E79"/>
      <w:kern w:val="2"/>
      <w:sz w:val="32"/>
      <w:szCs w:val="48"/>
      <w:lang w:eastAsia="en-GB"/>
    </w:rPr>
  </w:style>
  <w:style w:type="paragraph" w:styleId="Heading2">
    <w:name w:val="heading 2"/>
    <w:basedOn w:val="Normal"/>
    <w:link w:val="Heading2Char"/>
    <w:uiPriority w:val="9"/>
    <w:qFormat/>
    <w:rsid w:val="00B20160"/>
    <w:pPr>
      <w:keepNext/>
      <w:spacing w:beforeAutospacing="1" w:afterAutospacing="1"/>
      <w:jc w:val="left"/>
      <w:outlineLvl w:val="1"/>
    </w:pPr>
    <w:rPr>
      <w:rFonts w:eastAsia="Times New Roman" w:cs="Times New Roman"/>
      <w:b/>
      <w:bCs/>
      <w:color w:val="1F4E79"/>
      <w:sz w:val="26"/>
      <w:szCs w:val="36"/>
      <w:lang w:eastAsia="en-GB"/>
    </w:rPr>
  </w:style>
  <w:style w:type="paragraph" w:styleId="Heading3">
    <w:name w:val="heading 3"/>
    <w:basedOn w:val="Normal"/>
    <w:next w:val="Normal"/>
    <w:link w:val="Heading3Char"/>
    <w:uiPriority w:val="9"/>
    <w:unhideWhenUsed/>
    <w:qFormat/>
    <w:rsid w:val="00891655"/>
    <w:pPr>
      <w:keepNext/>
      <w:keepLines/>
      <w:spacing w:before="200" w:after="80" w:line="276" w:lineRule="auto"/>
      <w:jc w:val="left"/>
      <w:outlineLvl w:val="2"/>
    </w:pPr>
    <w:rPr>
      <w:rFonts w:asciiTheme="majorHAnsi" w:eastAsiaTheme="majorEastAsia" w:hAnsiTheme="majorHAnsi" w:cstheme="majorBidi"/>
      <w:b/>
      <w:bCs/>
      <w:color w:val="1F4E79"/>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41">
    <w:name w:val="Heading 41"/>
    <w:qFormat/>
    <w:rsid w:val="00994024"/>
    <w:pPr>
      <w:keepNext/>
      <w:spacing w:before="120" w:after="40" w:line="276" w:lineRule="auto"/>
    </w:pPr>
    <w:rPr>
      <w:rFonts w:ascii="Arial" w:eastAsia="Calibri" w:hAnsi="Arial"/>
      <w:b/>
      <w:color w:val="1F4E79"/>
      <w:sz w:val="21"/>
    </w:rPr>
  </w:style>
  <w:style w:type="character" w:customStyle="1" w:styleId="Heading1Char">
    <w:name w:val="Heading 1 Char"/>
    <w:basedOn w:val="DefaultParagraphFont"/>
    <w:link w:val="Heading1"/>
    <w:uiPriority w:val="9"/>
    <w:qFormat/>
    <w:rsid w:val="00B20160"/>
    <w:rPr>
      <w:rFonts w:ascii="Times New Roman" w:eastAsia="Times New Roman" w:hAnsi="Times New Roman" w:cs="Times New Roman"/>
      <w:b/>
      <w:bCs/>
      <w:kern w:val="2"/>
      <w:sz w:val="48"/>
      <w:szCs w:val="48"/>
      <w:lang w:eastAsia="en-GB"/>
    </w:rPr>
  </w:style>
  <w:style w:type="character" w:customStyle="1" w:styleId="Heading2Char">
    <w:name w:val="Heading 2 Char"/>
    <w:basedOn w:val="DefaultParagraphFont"/>
    <w:link w:val="Heading2"/>
    <w:uiPriority w:val="9"/>
    <w:qFormat/>
    <w:rsid w:val="00B20160"/>
    <w:rPr>
      <w:rFonts w:ascii="Times New Roman" w:eastAsia="Times New Roman" w:hAnsi="Times New Roman" w:cs="Times New Roman"/>
      <w:b/>
      <w:bCs/>
      <w:sz w:val="36"/>
      <w:szCs w:val="36"/>
      <w:lang w:eastAsia="en-GB"/>
    </w:rPr>
  </w:style>
  <w:style w:type="character" w:styleId="Strong">
    <w:name w:val="Strong"/>
    <w:basedOn w:val="DefaultParagraphFont"/>
    <w:uiPriority w:val="22"/>
    <w:qFormat/>
    <w:rsid w:val="00B20160"/>
    <w:rPr>
      <w:b/>
      <w:bCs/>
    </w:rPr>
  </w:style>
  <w:style w:type="character" w:customStyle="1" w:styleId="Heading3Char">
    <w:name w:val="Heading 3 Char"/>
    <w:basedOn w:val="DefaultParagraphFont"/>
    <w:link w:val="Heading3"/>
    <w:uiPriority w:val="9"/>
    <w:qFormat/>
    <w:rsid w:val="00891655"/>
    <w:rPr>
      <w:rFonts w:asciiTheme="majorHAnsi" w:eastAsiaTheme="majorEastAsia" w:hAnsiTheme="majorHAnsi" w:cstheme="majorBidi"/>
      <w:b/>
      <w:bCs/>
      <w:color w:val="4F81BD" w:themeColor="accent1"/>
    </w:rPr>
  </w:style>
  <w:style w:type="character" w:customStyle="1" w:styleId="pdq2pgselectionanchor">
    <w:name w:val="pdq2pg_selectionanchor"/>
    <w:basedOn w:val="DefaultParagraphFont"/>
    <w:qFormat/>
    <w:rsid w:val="00891655"/>
  </w:style>
  <w:style w:type="character" w:styleId="HTMLCode">
    <w:name w:val="HTML Code"/>
    <w:basedOn w:val="DefaultParagraphFont"/>
    <w:uiPriority w:val="99"/>
    <w:semiHidden/>
    <w:unhideWhenUsed/>
    <w:qFormat/>
    <w:rsid w:val="00891655"/>
    <w:rPr>
      <w:rFonts w:ascii="Courier New" w:eastAsia="Times New Roman" w:hAnsi="Courier New" w:cs="Courier New"/>
      <w:sz w:val="20"/>
      <w:szCs w:val="20"/>
    </w:rPr>
  </w:style>
  <w:style w:type="character" w:customStyle="1" w:styleId="BalloonTextChar">
    <w:name w:val="Balloon Text Char"/>
    <w:basedOn w:val="DefaultParagraphFont"/>
    <w:link w:val="BalloonText"/>
    <w:uiPriority w:val="99"/>
    <w:semiHidden/>
    <w:qFormat/>
    <w:rsid w:val="00FD7EE6"/>
    <w:rPr>
      <w:rFonts w:ascii="Tahoma" w:eastAsia="Trebuchet MS" w:hAnsi="Tahoma" w:cs="Tahoma"/>
      <w:sz w:val="16"/>
      <w:szCs w:val="16"/>
    </w:rPr>
  </w:style>
  <w:style w:type="paragraph" w:customStyle="1" w:styleId="Heading">
    <w:name w:val="Heading"/>
    <w:basedOn w:val="Normal"/>
    <w:next w:val="BodyText"/>
    <w:qFormat/>
    <w:rsid w:val="00994024"/>
    <w:pPr>
      <w:keepNext/>
      <w:spacing w:before="240" w:after="120"/>
    </w:pPr>
    <w:rPr>
      <w:rFonts w:ascii="Liberation Sans" w:eastAsia="Microsoft YaHei" w:hAnsi="Liberation Sans" w:cs="Arial Unicode MS"/>
      <w:sz w:val="28"/>
      <w:szCs w:val="28"/>
    </w:rPr>
  </w:style>
  <w:style w:type="paragraph" w:styleId="BodyText">
    <w:name w:val="Body Text"/>
    <w:basedOn w:val="Normal"/>
    <w:rsid w:val="00994024"/>
    <w:pPr>
      <w:spacing w:before="0" w:after="140" w:line="276" w:lineRule="auto"/>
    </w:pPr>
  </w:style>
  <w:style w:type="paragraph" w:styleId="List">
    <w:name w:val="List"/>
    <w:basedOn w:val="BodyText"/>
    <w:rsid w:val="00994024"/>
    <w:rPr>
      <w:rFonts w:cs="Arial Unicode MS"/>
    </w:rPr>
  </w:style>
  <w:style w:type="paragraph" w:styleId="Caption">
    <w:name w:val="caption"/>
    <w:basedOn w:val="Normal"/>
    <w:next w:val="Normal"/>
    <w:uiPriority w:val="35"/>
    <w:unhideWhenUsed/>
    <w:qFormat/>
    <w:rsid w:val="00DA1DCB"/>
    <w:pPr>
      <w:spacing w:before="60" w:after="160"/>
    </w:pPr>
    <w:rPr>
      <w:i/>
      <w:iCs/>
      <w:color w:val="464646"/>
      <w:sz w:val="18"/>
      <w:szCs w:val="18"/>
    </w:rPr>
  </w:style>
  <w:style w:type="paragraph" w:customStyle="1" w:styleId="Index">
    <w:name w:val="Index"/>
    <w:basedOn w:val="Normal"/>
    <w:qFormat/>
    <w:rsid w:val="00994024"/>
    <w:pPr>
      <w:suppressLineNumbers/>
    </w:pPr>
    <w:rPr>
      <w:rFonts w:cs="Arial Unicode MS"/>
    </w:rPr>
  </w:style>
  <w:style w:type="paragraph" w:styleId="NormalWeb">
    <w:name w:val="Normal (Web)"/>
    <w:basedOn w:val="Normal"/>
    <w:uiPriority w:val="99"/>
    <w:semiHidden/>
    <w:unhideWhenUsed/>
    <w:qFormat/>
    <w:rsid w:val="00B20160"/>
    <w:pPr>
      <w:spacing w:beforeAutospacing="1" w:afterAutospacing="1"/>
      <w:jc w:val="left"/>
    </w:pPr>
    <w:rPr>
      <w:rFonts w:ascii="Times New Roman" w:eastAsia="Times New Roman" w:hAnsi="Times New Roman" w:cs="Times New Roman"/>
      <w:sz w:val="24"/>
      <w:szCs w:val="24"/>
      <w:lang w:eastAsia="en-GB"/>
    </w:rPr>
  </w:style>
  <w:style w:type="paragraph" w:styleId="BalloonText">
    <w:name w:val="Balloon Text"/>
    <w:basedOn w:val="Normal"/>
    <w:link w:val="BalloonTextChar"/>
    <w:uiPriority w:val="99"/>
    <w:semiHidden/>
    <w:unhideWhenUsed/>
    <w:qFormat/>
    <w:rsid w:val="00FD7EE6"/>
    <w:pPr>
      <w:spacing w:before="0" w:after="0"/>
    </w:pPr>
    <w:rPr>
      <w:rFonts w:ascii="Tahoma" w:hAnsi="Tahoma" w:cs="Tahoma"/>
      <w:sz w:val="16"/>
      <w:szCs w:val="16"/>
    </w:rPr>
  </w:style>
  <w:style w:type="paragraph" w:customStyle="1" w:styleId="Title1">
    <w:name w:val="Title1"/>
    <w:qFormat/>
    <w:rsid w:val="00994024"/>
    <w:pPr>
      <w:keepNext/>
      <w:spacing w:after="240" w:line="276" w:lineRule="auto"/>
    </w:pPr>
    <w:rPr>
      <w:rFonts w:ascii="Arial" w:eastAsia="Calibri" w:hAnsi="Arial"/>
      <w:b/>
      <w:color w:val="1F4E79"/>
      <w:sz w:val="36"/>
    </w:rPr>
  </w:style>
  <w:style w:type="paragraph" w:customStyle="1" w:styleId="ListParagraph1">
    <w:name w:val="List Paragraph1"/>
    <w:qFormat/>
    <w:rsid w:val="00994024"/>
    <w:pPr>
      <w:spacing w:after="40" w:line="276" w:lineRule="auto"/>
      <w:ind w:left="312" w:hanging="142"/>
    </w:pPr>
    <w:rPr>
      <w:rFonts w:ascii="Arial" w:hAnsi="Arial"/>
      <w:sz w:val="21"/>
    </w:rPr>
  </w:style>
  <w:style w:type="paragraph" w:customStyle="1" w:styleId="ListNumber1">
    <w:name w:val="List Number1"/>
    <w:rsid w:val="00994024"/>
    <w:pPr>
      <w:spacing w:after="200" w:line="276" w:lineRule="auto"/>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4294967263</TotalTime>
  <Pages>3</Pages>
  <Words>657</Words>
  <Characters>3745</Characters>
  <Application>Microsoft Office Word</Application>
  <DocSecurity>0</DocSecurity>
  <Lines>31</Lines>
  <Paragraphs>8</Paragraphs>
  <ScaleCrop>false</ScaleCrop>
  <Company/>
  <LinksUpToDate>false</LinksUpToDate>
  <CharactersWithSpaces>4394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description/>
  <cp:lastModifiedBy>Zaharije Radivojević</cp:lastModifiedBy>
  <cp:revision>17</cp:revision>
  <dcterms:created xsi:type="dcterms:W3CDTF">2026-07-21T18:11:00Z</dcterms:created>
  <dcterms:modified xsi:type="dcterms:W3CDTF">2026-07-22T08:08:00Z</dcterms:modified>
</cp:coreProperties>
</file>