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26623" w14:textId="4651AFDB" w:rsidR="0070445E" w:rsidRDefault="00977107">
      <w:r>
        <w:t>Remark 1: The p</w:t>
      </w:r>
      <w:bookmarkStart w:id="0" w:name="_GoBack"/>
      <w:bookmarkEnd w:id="0"/>
      <w:r w:rsidR="00536CB0">
        <w:t>hase stability index (Kulik et al., 2013, eqs 21, 22) in Leal’s notation</w:t>
      </w:r>
      <w:r w:rsidR="001D2F71">
        <w:t>:</w:t>
      </w:r>
    </w:p>
    <w:p w14:paraId="4BF50F53" w14:textId="77777777" w:rsidR="00536CB0" w:rsidRDefault="00536CB0"/>
    <w:p w14:paraId="1359CF5A" w14:textId="77777777" w:rsidR="00536CB0" w:rsidRDefault="00CD1D6A">
      <w:r>
        <w:t xml:space="preserve">Using the </w:t>
      </w:r>
      <w:r w:rsidR="00536CB0">
        <w:t xml:space="preserve">(extended) activity (in mole fraction scale), </w:t>
      </w:r>
      <w:r w:rsidR="00536CB0" w:rsidRPr="00536CB0">
        <w:rPr>
          <w:i/>
        </w:rPr>
        <w:t>z</w:t>
      </w:r>
      <w:r w:rsidR="00536CB0">
        <w:t xml:space="preserve"> factor </w:t>
      </w:r>
      <w:r>
        <w:t xml:space="preserve">is </w:t>
      </w:r>
      <w:r w:rsidR="00536CB0">
        <w:t xml:space="preserve">normalized by dividing by </w:t>
      </w:r>
      <w:r w:rsidR="00536CB0" w:rsidRPr="00536CB0">
        <w:rPr>
          <w:i/>
        </w:rPr>
        <w:t>RT</w:t>
      </w:r>
      <w:r w:rsidRPr="00CD1D6A">
        <w:t>:</w:t>
      </w:r>
    </w:p>
    <w:p w14:paraId="77746E42" w14:textId="77777777" w:rsidR="00536CB0" w:rsidRDefault="00536CB0"/>
    <w:p w14:paraId="48B6CD84" w14:textId="77777777" w:rsidR="00536CB0" w:rsidRPr="00536CB0" w:rsidRDefault="00142C6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27F71E64" w14:textId="77777777" w:rsidR="00536CB0" w:rsidRDefault="00536CB0"/>
    <w:p w14:paraId="4E55A936" w14:textId="3F1E71D5" w:rsidR="00536CB0" w:rsidRDefault="00CD1D6A">
      <w:r>
        <w:t xml:space="preserve">the </w:t>
      </w:r>
      <w:r w:rsidR="00536CB0">
        <w:t>(estimated) mole fraction (</w:t>
      </w:r>
      <w:r>
        <w:t xml:space="preserve">i.e. </w:t>
      </w:r>
      <w:r w:rsidR="001D2F71">
        <w:t xml:space="preserve">extended activity divided by </w:t>
      </w:r>
      <w:r w:rsidR="00142C66">
        <w:t xml:space="preserve">the extended </w:t>
      </w:r>
      <w:r w:rsidR="001D2F71">
        <w:t>activity coefficient</w:t>
      </w:r>
      <w:r w:rsidR="00142C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2F71">
        <w:t>)</w:t>
      </w:r>
      <w:r>
        <w:t xml:space="preserve"> is</w:t>
      </w:r>
    </w:p>
    <w:p w14:paraId="47495003" w14:textId="77777777" w:rsidR="00536CB0" w:rsidRDefault="00536CB0"/>
    <w:p w14:paraId="628F634C" w14:textId="3E6DB3EE" w:rsidR="00536CB0" w:rsidRPr="00536CB0" w:rsidRDefault="00142C66" w:rsidP="00536CB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z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31E13D24" w14:textId="77777777" w:rsidR="00536CB0" w:rsidRDefault="00536CB0"/>
    <w:p w14:paraId="28F36273" w14:textId="77777777" w:rsidR="00536CB0" w:rsidRDefault="00CD1D6A">
      <w:r>
        <w:t xml:space="preserve">the </w:t>
      </w:r>
      <w:r w:rsidR="00536CB0">
        <w:t xml:space="preserve">stability index of a k-th phase with </w:t>
      </w:r>
      <w:r w:rsidR="00536CB0" w:rsidRPr="00536CB0">
        <w:rPr>
          <w:i/>
        </w:rPr>
        <w:t>K</w:t>
      </w:r>
      <w:r w:rsidR="00536CB0">
        <w:t xml:space="preserve"> components (in mole fraction scale)</w:t>
      </w:r>
      <w:r>
        <w:t xml:space="preserve"> is</w:t>
      </w:r>
    </w:p>
    <w:p w14:paraId="1C149D7C" w14:textId="77777777" w:rsidR="00536CB0" w:rsidRDefault="00536CB0"/>
    <w:p w14:paraId="5DEA715E" w14:textId="0FBB1673" w:rsidR="000169D6" w:rsidRDefault="00142C66" w:rsidP="000169D6">
      <w:pPr>
        <w:tabs>
          <w:tab w:val="left" w:pos="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br/>
          </m:r>
        </m:oMath>
      </m:oMathPara>
      <w:r w:rsidR="000169D6">
        <w:tab/>
        <w:t>(1)</w:t>
      </w:r>
      <w:r w:rsidR="000169D6">
        <w:br/>
        <w:t xml:space="preserve">    </w:t>
      </w:r>
    </w:p>
    <w:p w14:paraId="060BFC64" w14:textId="77777777" w:rsidR="001D2F71" w:rsidRDefault="00AE35D6">
      <w:r>
        <w:t xml:space="preserve">or </w:t>
      </w:r>
      <w:r w:rsidR="001D2F71">
        <w:t>in log</w:t>
      </w:r>
      <w:r w:rsidR="001D2F71" w:rsidRPr="001D2F71">
        <w:rPr>
          <w:vertAlign w:val="subscript"/>
        </w:rPr>
        <w:t>10</w:t>
      </w:r>
      <w:r w:rsidR="001D2F71">
        <w:t xml:space="preserve"> form: </w:t>
      </w:r>
    </w:p>
    <w:p w14:paraId="14DE489F" w14:textId="77777777" w:rsidR="001D2F71" w:rsidRPr="00AE35D6" w:rsidRDefault="00142C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E94A965" w14:textId="77777777" w:rsidR="00AE35D6" w:rsidRDefault="00AE35D6"/>
    <w:p w14:paraId="183352EC" w14:textId="77777777" w:rsidR="00AE35D6" w:rsidRDefault="00AE35D6">
      <w:r>
        <w:t xml:space="preserve">Compare this with eq (21) in the manuscript (replacing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in the notation):</w:t>
      </w:r>
    </w:p>
    <w:p w14:paraId="0400E94D" w14:textId="77777777" w:rsidR="00AE35D6" w:rsidRDefault="00AE35D6">
      <w:r>
        <w:tab/>
      </w:r>
      <w:r>
        <w:tab/>
      </w:r>
      <w:r>
        <w:tab/>
      </w:r>
      <w:r>
        <w:tab/>
      </w:r>
      <w:r w:rsidR="000169D6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14:paraId="3202DFFA" w14:textId="77777777" w:rsidR="00AE35D6" w:rsidRDefault="00AE35D6"/>
    <w:p w14:paraId="0AC63B42" w14:textId="77777777" w:rsidR="00977107" w:rsidRDefault="00CD1D6A">
      <w:r>
        <w:t>Clearly,</w:t>
      </w:r>
      <w:r w:rsidR="00AE35D6">
        <w:t xml:space="preserve"> in place of</w:t>
      </w:r>
      <w:r>
        <w:t xml:space="preserve"> mole fraction</w:t>
      </w:r>
      <w:r w:rsidR="00AE35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E35D6">
        <w:t xml:space="preserve">, an estimate of the mole fraction via the </w:t>
      </w:r>
      <w:r>
        <w:t xml:space="preserve">extended </w:t>
      </w:r>
      <w:r w:rsidR="00AE35D6">
        <w:t>activity and ac</w:t>
      </w:r>
      <w:r>
        <w:t xml:space="preserve">tivity coefficient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z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  </w:t>
      </w:r>
      <w:r w:rsidR="00AE35D6">
        <w:t xml:space="preserve">must </w:t>
      </w:r>
      <w:r>
        <w:t>be used in the general case, also valid if the mole fraction itself is indefinite (amount of phase is zero) or the phase is metastable.</w:t>
      </w:r>
      <w:r w:rsidR="00142C66">
        <w:t xml:space="preserve"> </w:t>
      </w:r>
    </w:p>
    <w:p w14:paraId="242F1C70" w14:textId="77777777" w:rsidR="00977107" w:rsidRDefault="00977107"/>
    <w:p w14:paraId="3E62CC6E" w14:textId="77777777" w:rsidR="00977107" w:rsidRDefault="00142C66">
      <w:r>
        <w:t xml:space="preserve">In this context, the extended activity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42C66">
        <w:t xml:space="preserve"> includes all terms of the species</w:t>
      </w:r>
      <w:r>
        <w:t xml:space="preserve"> primal chemical potential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42C66">
        <w:t xml:space="preserve"> but the mole fraction of species in the phase</w:t>
      </w:r>
      <w:r>
        <w:t xml:space="preserve"> and the standard chemical potential</w:t>
      </w:r>
      <w:r w:rsidRPr="00142C66">
        <w:t>.</w:t>
      </w:r>
      <w:r>
        <w:t xml:space="preserve"> </w:t>
      </w:r>
    </w:p>
    <w:p w14:paraId="6DE7CAEE" w14:textId="77777777" w:rsidR="00977107" w:rsidRDefault="00977107"/>
    <w:p w14:paraId="7060F6A2" w14:textId="77777777" w:rsidR="00977107" w:rsidRDefault="00142C66">
      <w:r>
        <w:t xml:space="preserve">For example, in the case of simple ideal mixing in a condensed phase,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familiar activity coefficient due to non-zero enthalpy of mixing. </w:t>
      </w:r>
    </w:p>
    <w:p w14:paraId="585C4471" w14:textId="77777777" w:rsidR="00977107" w:rsidRDefault="00977107"/>
    <w:p w14:paraId="66BA7911" w14:textId="77777777" w:rsidR="00977107" w:rsidRDefault="00142C66">
      <w:r>
        <w:t xml:space="preserve">In the case of a non-ideal gaseous fluid,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>
        <w:t xml:space="preserve"> and it includes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</m:oMath>
      <w:r>
        <w:t>,</w:t>
      </w:r>
      <w:r w:rsidR="00977107">
        <w:t xml:space="preserve"> the real fugacity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o</m:t>
                </m:r>
              </m:sup>
            </m:sSubSup>
          </m:e>
        </m:func>
      </m:oMath>
      <w:r w:rsidR="00977107">
        <w:t xml:space="preserve"> correction of the pure gas, and the fugacity coefficient (due to mixing)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 w:rsidR="00977107">
        <w:t xml:space="preserve">. </w:t>
      </w:r>
    </w:p>
    <w:p w14:paraId="5689D777" w14:textId="77777777" w:rsidR="00977107" w:rsidRDefault="00977107"/>
    <w:p w14:paraId="28F389A0" w14:textId="1AC36F19" w:rsidR="00142C66" w:rsidRDefault="00977107">
      <w:r>
        <w:t xml:space="preserve">In case of aqueous species, the extended activity coefficient involves the molality correction to standard chemical potential and the (Debye-Hueckel) activity coefficient, and so on. </w:t>
      </w:r>
    </w:p>
    <w:p w14:paraId="370099C7" w14:textId="21F384F6" w:rsidR="001D2F71" w:rsidRDefault="00142C66">
      <w:r>
        <w:t xml:space="preserve"> </w:t>
      </w:r>
    </w:p>
    <w:p w14:paraId="2D182928" w14:textId="1CE14FFC" w:rsidR="00B27256" w:rsidRDefault="00977107">
      <w:r>
        <w:t xml:space="preserve">Remark 2: </w:t>
      </w:r>
      <w:r w:rsidR="00CD1D6A">
        <w:t>As implemented in</w:t>
      </w:r>
      <w:r w:rsidR="001D2F71">
        <w:t xml:space="preserve"> GEMS,</w:t>
      </w:r>
    </w:p>
    <w:p w14:paraId="12EFB069" w14:textId="77777777" w:rsidR="001D2F71" w:rsidRDefault="00B27256" w:rsidP="00B27256">
      <w:pPr>
        <w:ind w:left="2880"/>
      </w:pPr>
      <w:r>
        <w:t xml:space="preserve">     </w:t>
      </w:r>
      <w:r w:rsidR="001D2F71">
        <w:t xml:space="preserve">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z</m:t>
                </m:r>
              </m:sup>
            </m:sSubSup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1D2F71">
        <w:t xml:space="preserve"> </w:t>
      </w:r>
    </w:p>
    <w:p w14:paraId="104F6D8F" w14:textId="77777777" w:rsidR="00B27256" w:rsidRDefault="00B27256" w:rsidP="00B27256"/>
    <w:p w14:paraId="522AD061" w14:textId="77777777" w:rsidR="00A74C35" w:rsidRDefault="00B27256" w:rsidP="00B27256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dual chemical potential (computed from Lagrange multipliers </w:t>
      </w:r>
      <w:r w:rsidR="00CD1D6A" w:rsidRPr="00CD1D6A">
        <w:rPr>
          <w:i/>
        </w:rPr>
        <w:t>y</w:t>
      </w:r>
      <w:r w:rsidR="00CD1D6A">
        <w:t xml:space="preserve"> </w:t>
      </w:r>
      <w:r>
        <w:t xml:space="preserve">and </w:t>
      </w:r>
      <w:r w:rsidR="00CD1D6A">
        <w:t xml:space="preserve">the </w:t>
      </w:r>
      <w:r>
        <w:t xml:space="preserve">species formula)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t xml:space="preserve"> is the standard chemical potential (both normalized by dividing by </w:t>
      </w:r>
      <w:r w:rsidRPr="00B27256">
        <w:rPr>
          <w:i/>
        </w:rPr>
        <w:t>RT</w:t>
      </w:r>
      <w:r>
        <w:t xml:space="preserve">). </w:t>
      </w:r>
      <w:r w:rsidR="00CD1D6A">
        <w:t xml:space="preserve">To prove this, recall that, from KKT conditions, </w:t>
      </w:r>
    </w:p>
    <w:p w14:paraId="4F88F360" w14:textId="77777777" w:rsidR="00A74C35" w:rsidRDefault="00A74C35" w:rsidP="00B27256"/>
    <w:p w14:paraId="53ED976B" w14:textId="77777777" w:rsidR="00A74C35" w:rsidRDefault="00B27256" w:rsidP="00B27256"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CD1D6A">
        <w:t xml:space="preserve">       </w:t>
      </w:r>
      <w:r>
        <w:t>where</w:t>
      </w:r>
      <w:r w:rsidR="00CD1D6A">
        <w:t xml:space="preserve">  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5CD6D323" w14:textId="77777777" w:rsidR="00A74C35" w:rsidRDefault="00A74C35" w:rsidP="00B27256"/>
    <w:p w14:paraId="386EDBCD" w14:textId="77777777" w:rsidR="00B27256" w:rsidRDefault="00B27256" w:rsidP="00B27256">
      <w:r>
        <w:t xml:space="preserve">is the primal chemical potential of i-th species. </w:t>
      </w:r>
      <w:r w:rsidR="00CD1D6A">
        <w:t>By r</w:t>
      </w:r>
      <w:r w:rsidR="00A74C35">
        <w:t xml:space="preserve">e-arranging, we obtain </w:t>
      </w:r>
    </w:p>
    <w:p w14:paraId="0FF32B81" w14:textId="77777777" w:rsidR="00A74C35" w:rsidRDefault="00A74C35" w:rsidP="0072130B"/>
    <w:p w14:paraId="7ED8BA24" w14:textId="77777777" w:rsidR="00A74C35" w:rsidRPr="00536CB0" w:rsidRDefault="00142C66" w:rsidP="0072130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o</m:t>
              </m:r>
            </m:sup>
          </m:sSubSup>
        </m:oMath>
      </m:oMathPara>
    </w:p>
    <w:p w14:paraId="5B6A05D1" w14:textId="77777777" w:rsidR="00A74C35" w:rsidRDefault="00A74C35"/>
    <w:p w14:paraId="0D6DFDD1" w14:textId="77777777" w:rsidR="001D2F71" w:rsidRDefault="00A74C35">
      <w:r>
        <w:t>from where</w:t>
      </w:r>
      <w:r w:rsidR="00CD1D6A">
        <w:t>,</w:t>
      </w:r>
      <w:r>
        <w:t xml:space="preserve"> </w:t>
      </w:r>
      <w:r w:rsidR="00AE35D6">
        <w:t xml:space="preserve">defining 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z</m:t>
                </m:r>
              </m:sup>
            </m:sSubSup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AE35D6">
        <w:t xml:space="preserve"> , it follows that</w:t>
      </w:r>
    </w:p>
    <w:p w14:paraId="4FAEFB10" w14:textId="77777777" w:rsidR="00A74C35" w:rsidRDefault="00A74C35"/>
    <w:p w14:paraId="06E2813D" w14:textId="77777777" w:rsidR="00A74C35" w:rsidRDefault="00142C66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z</m:t>
                </m:r>
              </m:sup>
            </m:sSubSup>
          </m:e>
        </m:func>
        <m:r>
          <w:rPr>
            <w:rFonts w:ascii="Cambria Math" w:hAnsi="Cambria Math"/>
          </w:rPr>
          <m:t>+z</m:t>
        </m:r>
      </m:oMath>
      <w:r w:rsidR="00A74C35">
        <w:t xml:space="preserve"> </w:t>
      </w:r>
    </w:p>
    <w:p w14:paraId="3A84AE45" w14:textId="77777777" w:rsidR="00AE35D6" w:rsidRDefault="00AE35D6"/>
    <w:p w14:paraId="0F1E4DE2" w14:textId="77777777" w:rsidR="00CD1D6A" w:rsidRDefault="00CD1D6A">
      <w:r>
        <w:t>which is identical to the first equation on this page (eq 28 in the manuscript).</w:t>
      </w:r>
      <w:r w:rsidR="000169D6">
        <w:t xml:space="preserve"> It also proves that eq (1) on this page should be used as phase stability index equivalently in GEM and xLMA.</w:t>
      </w:r>
    </w:p>
    <w:sectPr w:rsidR="00CD1D6A" w:rsidSect="000169D6">
      <w:pgSz w:w="11900" w:h="16840"/>
      <w:pgMar w:top="1134" w:right="126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B0"/>
    <w:rsid w:val="000169D6"/>
    <w:rsid w:val="00142C66"/>
    <w:rsid w:val="001D2F71"/>
    <w:rsid w:val="00536CB0"/>
    <w:rsid w:val="0070445E"/>
    <w:rsid w:val="0072130B"/>
    <w:rsid w:val="00977107"/>
    <w:rsid w:val="00A74C35"/>
    <w:rsid w:val="00AE35D6"/>
    <w:rsid w:val="00B27256"/>
    <w:rsid w:val="00B73E9E"/>
    <w:rsid w:val="00CC1E7C"/>
    <w:rsid w:val="00C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5E67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C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C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B0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C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C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B0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404</Words>
  <Characters>2304</Characters>
  <Application>Microsoft Macintosh Word</Application>
  <DocSecurity>0</DocSecurity>
  <Lines>19</Lines>
  <Paragraphs>5</Paragraphs>
  <ScaleCrop>false</ScaleCrop>
  <Company>Paul Scherrer Institut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A. Kulik</dc:creator>
  <cp:keywords/>
  <dc:description/>
  <cp:lastModifiedBy>Dmitrii A. Kulik</cp:lastModifiedBy>
  <cp:revision>3</cp:revision>
  <dcterms:created xsi:type="dcterms:W3CDTF">2016-07-15T18:19:00Z</dcterms:created>
  <dcterms:modified xsi:type="dcterms:W3CDTF">2016-07-18T08:45:00Z</dcterms:modified>
</cp:coreProperties>
</file>