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588D" w:rsidRPr="007F62D6" w:rsidRDefault="007F62D6">
      <w:pPr>
        <w:rPr>
          <w:b/>
        </w:rPr>
      </w:pPr>
      <w:r w:rsidRPr="007F62D6">
        <w:rPr>
          <w:b/>
        </w:rPr>
        <w:t>Methods section on zwf titration strain</w:t>
      </w:r>
    </w:p>
    <w:p w:rsidR="003C7E4D" w:rsidRPr="003C7E4D" w:rsidRDefault="003C7E4D" w:rsidP="00E9509F">
      <w:pPr>
        <w:jc w:val="both"/>
        <w:rPr>
          <w:i/>
        </w:rPr>
      </w:pPr>
      <w:r w:rsidRPr="003C7E4D">
        <w:rPr>
          <w:i/>
        </w:rPr>
        <w:t>Strain construction</w:t>
      </w:r>
    </w:p>
    <w:p w:rsidR="00E9509F" w:rsidRDefault="007F62D6" w:rsidP="00E9509F">
      <w:pPr>
        <w:jc w:val="both"/>
      </w:pPr>
      <w:r>
        <w:t>The</w:t>
      </w:r>
      <w:r w:rsidRPr="007F62D6">
        <w:rPr>
          <w:i/>
        </w:rPr>
        <w:t xml:space="preserve"> zwf </w:t>
      </w:r>
      <w:r>
        <w:t xml:space="preserve">titration strain was constructed as follows. First, the </w:t>
      </w:r>
      <w:r w:rsidRPr="007F62D6">
        <w:rPr>
          <w:i/>
        </w:rPr>
        <w:t>zwf</w:t>
      </w:r>
      <w:r>
        <w:t xml:space="preserve"> gene was cloned into </w:t>
      </w:r>
      <w:r w:rsidR="00DA175A">
        <w:t xml:space="preserve">the </w:t>
      </w:r>
      <w:r>
        <w:t xml:space="preserve">IPTG-titratable expression plasmid pTrc99KK </w:t>
      </w:r>
      <w:r>
        <w:fldChar w:fldCharType="begin" w:fldLock="1"/>
      </w:r>
      <w:r>
        <w:instrText>ADDIN CSL_CITATION { "citationItems" : [ { "id" : "ITEM-1", "itemData" : { "DOI" : "10.1038/nbt.2489", "ISSN" : "1546-1696", "PMID" : "23455438", "abstract" : "Recent data suggest that the majority of proteins bind specific metabolites and that such interactions are relevant to metabolic and gene regulation. However, there are no methods to systematically identify functional allosteric protein-metabolite interactions. Here we present an experimental and computational approach for using dynamic metabolite data to discover allosteric regulation that is relevant in vivo. By switching the culture conditions of Escherichia coli every 30 s between medium containing either pyruvate or (13)C-labeled fructose or glucose, we measured the reversal of flux through glycolysis pathways and observed rapid changes in metabolite concentration. We fit these data to a kinetic model of glycolysis and systematically tested the consequences of 126 putative allosteric interactions on metabolite dynamics. We identified allosteric interactions that govern the reversible switch between gluconeogenesis and glycolysis, including one by which pyruvate activates fructose-1,6-bisphosphatase. Thus, from large sets of putative allosteric interactions, our approach can identify the most likely ones and provide hypotheses about their function.", "author" : [ { "dropping-particle" : "", "family" : "Link", "given" : "Hannes", "non-dropping-particle" : "", "parse-names" : false, "suffix" : "" }, { "dropping-particle" : "", "family" : "Kochanowski", "given" : "Karl", "non-dropping-particle" : "", "parse-names" : false, "suffix" : "" }, { "dropping-particle" : "", "family" : "Sauer", "given" : "Uwe", "non-dropping-particle" : "", "parse-names" : false, "suffix" : "" } ], "container-title" : "Nature biotechnology", "id" : "ITEM-1", "issue" : "4", "issued" : { "date-parts" : [ [ "2013", "4", "3" ] ] }, "page" : "357-361", "publisher" : "Nature Publishing Group", "title" : "Systematic identification of allosteric protein-metabolite interactions that control enzyme activity in vivo.", "type" : "article-journal", "volume" : "31" }, "uris" : [ "http://www.mendeley.com/documents/?uuid=2bc07d9d-3c94-4813-93d0-58cb8ba5a5fd" ] } ], "mendeley" : { "formattedCitation" : "(Link &lt;i&gt;et al&lt;/i&gt;, 2013)", "plainTextFormattedCitation" : "(Link et al, 2013)", "previouslyFormattedCitation" : "(Link &lt;i&gt;et al&lt;/i&gt;, 2013)" }, "properties" : { "noteIndex" : 0 }, "schema" : "https://github.com/citation-style-language/schema/raw/master/csl-citation.json" }</w:instrText>
      </w:r>
      <w:r>
        <w:fldChar w:fldCharType="separate"/>
      </w:r>
      <w:r w:rsidRPr="007F62D6">
        <w:rPr>
          <w:noProof/>
        </w:rPr>
        <w:t xml:space="preserve">(Link </w:t>
      </w:r>
      <w:r w:rsidRPr="007F62D6">
        <w:rPr>
          <w:i/>
          <w:noProof/>
        </w:rPr>
        <w:t>et al</w:t>
      </w:r>
      <w:r w:rsidRPr="007F62D6">
        <w:rPr>
          <w:noProof/>
        </w:rPr>
        <w:t>, 2013)</w:t>
      </w:r>
      <w:r>
        <w:fldChar w:fldCharType="end"/>
      </w:r>
      <w:r>
        <w:t xml:space="preserve"> (primer 1: </w:t>
      </w:r>
      <w:r w:rsidRPr="00A752AE">
        <w:t>GCCTCGAGATGGCGGTAACGCAAACAGCC</w:t>
      </w:r>
      <w:r>
        <w:t xml:space="preserve">, primer 2: </w:t>
      </w:r>
      <w:r w:rsidRPr="00A752AE">
        <w:t>CGGGATCCTTACTCAAACTCATTCCAGGAACG</w:t>
      </w:r>
      <w:r>
        <w:t>), yielding plasmid pTrc99KK-</w:t>
      </w:r>
      <w:r w:rsidRPr="007F62D6">
        <w:rPr>
          <w:i/>
        </w:rPr>
        <w:t>zwf</w:t>
      </w:r>
      <w:r>
        <w:t xml:space="preserve">. This plasmid was then transformed into a </w:t>
      </w:r>
      <w:r w:rsidRPr="007F62D6">
        <w:rPr>
          <w:i/>
        </w:rPr>
        <w:t>zwf</w:t>
      </w:r>
      <w:r>
        <w:t xml:space="preserve"> deletion strain obtained from the Keio collection </w:t>
      </w:r>
      <w:r>
        <w:fldChar w:fldCharType="begin" w:fldLock="1"/>
      </w:r>
      <w:r w:rsidR="00E9509F">
        <w:instrText>ADDIN CSL_CITATION { "citationItems" : [ { "id" : "ITEM-1", "itemData" : { "DOI" : "10.1038/msb4100050", "ISSN" : "1744-4292", "PMID" : "16738554", "abstract" : "We have systematically made a set of precisely defined, single-gene deletions of all nonessential genes in Escherichia coli K-12. Open-reading frame coding regions were replaced with a kanamycin cassette flanked by FLP recognition target sites by using a one-step method for inactivation of chromosomal genes and primers designed to create in-frame deletions upon excision of the resistance cassette. Of 4288 genes targeted, mutants were obtained for 3985. To alleviate problems encountered in high-throughput studies, two independent mutants were saved for every deleted gene. These mutants-the 'Keio collection'-provide a new resource not only for systematic analyses of unknown gene functions and gene regulatory networks but also for genome-wide testing of mutational effects in a common strain background, E. coli K-12 BW25113. We were unable to disrupt 303 genes, including 37 of unknown function, which are candidates for essential genes. Distribution is being handled via GenoBase (http://ecoli.aist-nara.ac.jp/).", "author" : [ { "dropping-particle" : "", "family" : "Baba", "given" : "Tomoya", "non-dropping-particle" : "", "parse-names" : false, "suffix" : "" }, { "dropping-particle" : "", "family" : "Ara", "given" : "Takeshi", "non-dropping-particle" : "", "parse-names" : false, "suffix" : "" }, { "dropping-particle" : "", "family" : "Hasegawa", "given" : "Miki", "non-dropping-particle" : "", "parse-names" : false, "suffix" : "" }, { "dropping-particle" : "", "family" : "Takai", "given" : "Yuki", "non-dropping-particle" : "", "parse-names" : false, "suffix" : "" }, { "dropping-particle" : "", "family" : "Okumura", "given" : "Yoshiko", "non-dropping-particle" : "", "parse-names" : false, "suffix" : "" }, { "dropping-particle" : "", "family" : "Baba", "given" : "Miki", "non-dropping-particle" : "", "parse-names" : false, "suffix" : "" }, { "dropping-particle" : "", "family" : "Datsenko", "given" : "Kirill a", "non-dropping-particle" : "", "parse-names" : false, "suffix" : "" }, { "dropping-particle" : "", "family" : "Tomita", "given" : "Masaru", "non-dropping-particle" : "", "parse-names" : false, "suffix" : "" }, { "dropping-particle" : "", "family" : "Wanner", "given" : "Barry L", "non-dropping-particle" : "", "parse-names" : false, "suffix" : "" }, { "dropping-particle" : "", "family" : "Mori", "given" : "Hirotada", "non-dropping-particle" : "", "parse-names" : false, "suffix" : "" } ], "container-title" : "Molecular systems biology", "id" : "ITEM-1", "issued" : { "date-parts" : [ [ "2006", "1" ] ] }, "page" : "2006.0008", "title" : "Construction of Escherichia coli K-12 in-frame, single-gene knockout mutants: the Keio collection.", "type" : "article-journal", "volume" : "2" }, "uris" : [ "http://www.mendeley.com/documents/?uuid=b9db8260-87db-47db-80a2-1c2eae76fb48" ] } ], "mendeley" : { "formattedCitation" : "(Baba &lt;i&gt;et al&lt;/i&gt;, 2006)", "plainTextFormattedCitation" : "(Baba et al, 2006)", "previouslyFormattedCitation" : "(Baba &lt;i&gt;et al&lt;/i&gt;, 2006)" }, "properties" : { "noteIndex" : 0 }, "schema" : "https://github.com/citation-style-language/schema/raw/master/csl-citation.json" }</w:instrText>
      </w:r>
      <w:r>
        <w:fldChar w:fldCharType="separate"/>
      </w:r>
      <w:r w:rsidRPr="007F62D6">
        <w:rPr>
          <w:noProof/>
        </w:rPr>
        <w:t xml:space="preserve">(Baba </w:t>
      </w:r>
      <w:r w:rsidRPr="007F62D6">
        <w:rPr>
          <w:i/>
          <w:noProof/>
        </w:rPr>
        <w:t>et al</w:t>
      </w:r>
      <w:r w:rsidRPr="007F62D6">
        <w:rPr>
          <w:noProof/>
        </w:rPr>
        <w:t>, 2006)</w:t>
      </w:r>
      <w:r>
        <w:fldChar w:fldCharType="end"/>
      </w:r>
      <w:r w:rsidR="00E9509F">
        <w:t xml:space="preserve">. To exclude adverse effects on oxidative stress resistance </w:t>
      </w:r>
      <w:r w:rsidR="00133048">
        <w:t xml:space="preserve">merely </w:t>
      </w:r>
      <w:bookmarkStart w:id="0" w:name="_GoBack"/>
      <w:bookmarkEnd w:id="0"/>
      <w:r w:rsidR="00E9509F">
        <w:t xml:space="preserve">due to protein overexpression, the </w:t>
      </w:r>
      <w:r w:rsidR="00E9509F" w:rsidRPr="00E9509F">
        <w:rPr>
          <w:i/>
        </w:rPr>
        <w:t>zwf</w:t>
      </w:r>
      <w:r w:rsidR="00E9509F">
        <w:t xml:space="preserve"> deletion strain was also transformed with a N-terminal his-tagged GFP titration plasmid, </w:t>
      </w:r>
      <w:r w:rsidR="008A22F0">
        <w:t>pTrc99KK-GFP:</w:t>
      </w:r>
      <w:r w:rsidR="00E9509F">
        <w:t xml:space="preserve">N-term </w:t>
      </w:r>
      <w:r w:rsidR="00796247">
        <w:t>HT</w:t>
      </w:r>
      <w:r w:rsidR="00E9509F">
        <w:t xml:space="preserve">, which was obtained from </w:t>
      </w:r>
      <w:r w:rsidR="00E9509F">
        <w:fldChar w:fldCharType="begin" w:fldLock="1"/>
      </w:r>
      <w:r w:rsidR="00E9509F">
        <w:instrText>ADDIN CSL_CITATION { "citationItems" : [ { "id" : "ITEM-1", "itemData" : { "DOI" : "10.1021/acs.biochem.5b01291", "ISSN" : "0006-2960", "author" : [ { "dropping-particle" : "V.", "family" : "Nikolaev", "given" : "Yaroslav", "non-dropping-particle" : "", "parse-names" : false, "suffix" : "" }, { "dropping-particle" : "", "family" : "Kochanowski", "given" : "Karl", "non-dropping-particle" : "", "parse-names" : false, "suffix" : "" }, { "dropping-particle" : "", "family" : "Link", "given" : "Hannes", "non-dropping-particle" : "", "parse-names" : false, "suffix" : "" }, { "dropping-particle" : "", "family" : "Sauer", "given" : "Uwe", "non-dropping-particle" : "", "parse-names" : false, "suffix" : "" }, { "dropping-particle" : "", "family" : "Allain", "given" : "Frederic H.-T.", "non-dropping-particle" : "", "parse-names" : false, "suffix" : "" } ], "container-title" : "Biochemistry", "id" : "ITEM-1", "issue" : "18", "issued" : { "date-parts" : [ [ "2016", "5", "10" ] ] }, "page" : "2590-2600", "title" : "Systematic Identification of Protein\u2013Metabolite Interactions in Complex Metabolite Mixtures by Ligand-Detected Nuclear Magnetic Resonance Spectroscopy", "type" : "article-journal", "volume" : "55" }, "uris" : [ "http://www.mendeley.com/documents/?uuid=4b3136c3-e7f4-4c0a-ba35-9a3d7dc7fd39" ] } ], "mendeley" : { "formattedCitation" : "(Nikolaev &lt;i&gt;et al&lt;/i&gt;, 2016)", "plainTextFormattedCitation" : "(Nikolaev et al, 2016)" }, "properties" : { "noteIndex" : 0 }, "schema" : "https://github.com/citation-style-language/schema/raw/master/csl-citation.json" }</w:instrText>
      </w:r>
      <w:r w:rsidR="00E9509F">
        <w:fldChar w:fldCharType="separate"/>
      </w:r>
      <w:r w:rsidR="00E9509F" w:rsidRPr="00E9509F">
        <w:rPr>
          <w:noProof/>
        </w:rPr>
        <w:t xml:space="preserve">(Nikolaev </w:t>
      </w:r>
      <w:r w:rsidR="00E9509F" w:rsidRPr="00E9509F">
        <w:rPr>
          <w:i/>
          <w:noProof/>
        </w:rPr>
        <w:t>et al</w:t>
      </w:r>
      <w:r w:rsidR="00E9509F" w:rsidRPr="00E9509F">
        <w:rPr>
          <w:noProof/>
        </w:rPr>
        <w:t>, 2016)</w:t>
      </w:r>
      <w:r w:rsidR="00E9509F">
        <w:fldChar w:fldCharType="end"/>
      </w:r>
      <w:r w:rsidR="00E9509F">
        <w:t>.</w:t>
      </w:r>
    </w:p>
    <w:p w:rsidR="003C7E4D" w:rsidRDefault="003C7E4D" w:rsidP="00E9509F">
      <w:pPr>
        <w:jc w:val="both"/>
      </w:pPr>
    </w:p>
    <w:sectPr w:rsidR="003C7E4D">
      <w:pgSz w:w="12240" w:h="15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3FCF"/>
    <w:rsid w:val="00133048"/>
    <w:rsid w:val="003C7E4D"/>
    <w:rsid w:val="00796247"/>
    <w:rsid w:val="007F62D6"/>
    <w:rsid w:val="008A22F0"/>
    <w:rsid w:val="00B53FCF"/>
    <w:rsid w:val="00DA175A"/>
    <w:rsid w:val="00E9509F"/>
    <w:rsid w:val="00FC58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F76EB4E-34A1-4C53-8FFA-54F29D4FF4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15584C-2896-4BDF-AFB8-6B6DF5421C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A0EA3F6D.dotm</Template>
  <TotalTime>0</TotalTime>
  <Pages>1</Pages>
  <Words>1212</Words>
  <Characters>6913</Characters>
  <Application>Microsoft Office Word</Application>
  <DocSecurity>0</DocSecurity>
  <Lines>57</Lines>
  <Paragraphs>16</Paragraphs>
  <ScaleCrop>false</ScaleCrop>
  <Company>ETH Zuerich</Company>
  <LinksUpToDate>false</LinksUpToDate>
  <CharactersWithSpaces>8109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Kochanowski  Karl Andreas</dc:creator>
  <cp:keywords/>
  <dc:description/>
  <cp:lastModifiedBy>Kochanowski  Karl Andreas</cp:lastModifiedBy>
  <cp:revision>8</cp:revision>
  <dcterms:created xsi:type="dcterms:W3CDTF">2016-12-22T10:55:00Z</dcterms:created>
  <dcterms:modified xsi:type="dcterms:W3CDTF">2016-12-22T11:07:00Z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aa99420f-bc5b-382a-b976-38663a72449c</vt:lpwstr>
  </property>
  <property fmtid="{D5CDD505-2E9C-101B-9397-08002B2CF9AE}" pid="4" name="Mendeley Citation Style_1">
    <vt:lpwstr>http://www.zotero.org/styles/molecular-systems-biology</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http://www.zotero.org/styles/chicago-author-date</vt:lpwstr>
  </property>
  <property fmtid="{D5CDD505-2E9C-101B-9397-08002B2CF9AE}" pid="10" name="Mendeley Recent Style Name 2_1">
    <vt:lpwstr>Chicago Manual of Style 16th edition (author-date)</vt:lpwstr>
  </property>
  <property fmtid="{D5CDD505-2E9C-101B-9397-08002B2CF9AE}" pid="11" name="Mendeley Recent Style Id 3_1">
    <vt:lpwstr>http://www.zotero.org/styles/embo-reports</vt:lpwstr>
  </property>
  <property fmtid="{D5CDD505-2E9C-101B-9397-08002B2CF9AE}" pid="12" name="Mendeley Recent Style Name 3_1">
    <vt:lpwstr>EMBO reports</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(author-date)</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http://www.zotero.org/styles/molecular-systems-biology</vt:lpwstr>
  </property>
  <property fmtid="{D5CDD505-2E9C-101B-9397-08002B2CF9AE}" pid="20" name="Mendeley Recent Style Name 7_1">
    <vt:lpwstr>Molecular Systems Biology</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http://www.zotero.org/styles/science</vt:lpwstr>
  </property>
  <property fmtid="{D5CDD505-2E9C-101B-9397-08002B2CF9AE}" pid="24" name="Mendeley Recent Style Name 9_1">
    <vt:lpwstr>Science</vt:lpwstr>
  </property>
</Properties>
</file>