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BA" w:rsidRDefault="00B279BA" w:rsidP="0090291E">
      <w:pPr>
        <w:jc w:val="both"/>
      </w:pPr>
      <w:r>
        <w:t>Results</w:t>
      </w:r>
    </w:p>
    <w:p w:rsidR="00757E11" w:rsidRPr="0090291E" w:rsidRDefault="00757E11" w:rsidP="0090291E">
      <w:pPr>
        <w:jc w:val="both"/>
        <w:rPr>
          <w:lang w:val="en-GB"/>
        </w:rPr>
      </w:pPr>
      <w:r w:rsidRPr="00757E11">
        <w:t>K</w:t>
      </w:r>
      <w:r w:rsidRPr="00757E11">
        <w:rPr>
          <w:vertAlign w:val="subscript"/>
        </w:rPr>
        <w:t>m</w:t>
      </w:r>
      <w:r w:rsidRPr="00757E11">
        <w:t xml:space="preserve"> values were </w:t>
      </w:r>
      <w:r>
        <w:t>from measurements were</w:t>
      </w:r>
      <w:r w:rsidRPr="00757E11">
        <w:t xml:space="preserve"> </w:t>
      </w:r>
      <w:r>
        <w:t>g</w:t>
      </w:r>
      <w:r w:rsidRPr="00757E11">
        <w:t xml:space="preserve">lucose-6-phosphate concentrations were varied from 50 μM to 400 μM, while the NADP+ concentrations were between 20 μM and 150 μM. </w:t>
      </w:r>
      <w:r>
        <w:t>The resulting K</w:t>
      </w:r>
      <w:r w:rsidRPr="0090291E">
        <w:rPr>
          <w:vertAlign w:val="subscript"/>
        </w:rPr>
        <w:t>m</w:t>
      </w:r>
      <w:r>
        <w:t xml:space="preserve"> values for NADP+ and glucose-6-phsophate are listed in Table 1.</w:t>
      </w:r>
      <w:r w:rsidR="0090291E">
        <w:t xml:space="preserve"> </w:t>
      </w:r>
      <w:r w:rsidR="0090291E" w:rsidRPr="0090291E">
        <w:t>K</w:t>
      </w:r>
      <w:r w:rsidR="0090291E" w:rsidRPr="0090291E">
        <w:rPr>
          <w:vertAlign w:val="subscript"/>
        </w:rPr>
        <w:t>i</w:t>
      </w:r>
      <w:r w:rsidR="0090291E">
        <w:t xml:space="preserve"> </w:t>
      </w:r>
      <w:r w:rsidR="0090291E" w:rsidRPr="0090291E">
        <w:t>values of NADPH were determined with one substrate kept at a constant concentration, while the second substrate was varied at different constant inhibitor concentrations. According to the determined sequential ordered bi-bi-mechanism it was expected that NADPH will inhibit competitively in respect to NADP+ and mixed non-competitive with respect to glucose-6-phosphate [</w:t>
      </w:r>
      <w:r w:rsidR="009D61E6">
        <w:t>1</w:t>
      </w:r>
      <w:r w:rsidR="0090291E" w:rsidRPr="0090291E">
        <w:t xml:space="preserve">]. </w:t>
      </w:r>
      <w:r w:rsidR="009D61E6">
        <w:t xml:space="preserve">To determine the respective inhibition constants, reaction velocities were determined under different NADPH concentrations (150, 75 and 0 μM), </w:t>
      </w:r>
      <w:r w:rsidR="0090291E" w:rsidRPr="0090291E">
        <w:t>the glucose-6-phosphate concentration was held at 400 μM and NADP</w:t>
      </w:r>
      <w:r w:rsidR="0090291E" w:rsidRPr="0090291E">
        <w:rPr>
          <w:vertAlign w:val="superscript"/>
        </w:rPr>
        <w:t>+</w:t>
      </w:r>
      <w:r w:rsidR="009D61E6">
        <w:t xml:space="preserve"> was varied from 10 to 60 μM or alternatively </w:t>
      </w:r>
      <w:r w:rsidR="009D61E6" w:rsidRPr="0090291E">
        <w:t>NADP</w:t>
      </w:r>
      <w:r w:rsidR="009D61E6" w:rsidRPr="009D61E6">
        <w:rPr>
          <w:vertAlign w:val="superscript"/>
        </w:rPr>
        <w:t>+</w:t>
      </w:r>
      <w:r w:rsidR="009D61E6" w:rsidRPr="0090291E">
        <w:t xml:space="preserve"> was h</w:t>
      </w:r>
      <w:r w:rsidR="009D61E6">
        <w:t>e</w:t>
      </w:r>
      <w:r w:rsidR="009D61E6" w:rsidRPr="0090291E">
        <w:t xml:space="preserve">ld at 40 μM </w:t>
      </w:r>
      <w:r w:rsidR="009D61E6">
        <w:t xml:space="preserve">and glucose-6-phosphate was varied </w:t>
      </w:r>
      <w:r w:rsidR="0090291E" w:rsidRPr="0090291E">
        <w:t>from 50 to 400 μM</w:t>
      </w:r>
      <w:r w:rsidR="009D61E6">
        <w:t xml:space="preserve">. The resulting inhibition constants </w:t>
      </w:r>
      <w:r w:rsidR="00F72959">
        <w:t xml:space="preserve">and intracellular concentrations </w:t>
      </w:r>
      <w:r w:rsidR="009D61E6">
        <w:t>are indicated in Table 1.</w:t>
      </w:r>
    </w:p>
    <w:p w:rsidR="00757E11" w:rsidRDefault="00757E11">
      <w:r w:rsidRPr="00757E11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1962"/>
        <w:gridCol w:w="2409"/>
      </w:tblGrid>
      <w:tr w:rsidR="00A22AEA" w:rsidRPr="0075095B" w:rsidTr="00A22AEA">
        <w:trPr>
          <w:jc w:val="center"/>
        </w:trPr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A22AEA" w:rsidRPr="0075095B" w:rsidRDefault="00A22AEA" w:rsidP="00A22AEA">
            <w:pPr>
              <w:spacing w:after="160" w:line="259" w:lineRule="auto"/>
              <w:ind w:right="-227"/>
              <w:jc w:val="center"/>
            </w:pPr>
            <w:r w:rsidRPr="00A22AEA">
              <w:rPr>
                <w:rFonts w:asciiTheme="minorHAnsi" w:hAnsiTheme="minorHAnsi"/>
                <w:lang w:val="en-US"/>
              </w:rPr>
              <w:t xml:space="preserve">Table 1 Experimentally determined </w:t>
            </w:r>
            <w:proofErr w:type="spellStart"/>
            <w:r w:rsidRPr="00A22AEA">
              <w:rPr>
                <w:rFonts w:asciiTheme="minorHAnsi" w:hAnsiTheme="minorHAnsi"/>
                <w:lang w:val="en-US"/>
              </w:rPr>
              <w:t>kinectic</w:t>
            </w:r>
            <w:proofErr w:type="spellEnd"/>
            <w:r w:rsidRPr="00A22AEA">
              <w:rPr>
                <w:rFonts w:asciiTheme="minorHAnsi" w:hAnsiTheme="minorHAnsi"/>
                <w:lang w:val="en-US"/>
              </w:rPr>
              <w:t xml:space="preserve"> parameters and intracellular metabolite concentrations</w:t>
            </w: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:rsidR="0075095B" w:rsidRPr="009D61E6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4" w:space="0" w:color="auto"/>
            </w:tcBorders>
          </w:tcPr>
          <w:p w:rsid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Own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data</w:t>
            </w:r>
            <w:proofErr w:type="spellEnd"/>
          </w:p>
          <w:p w:rsidR="0075095B" w:rsidRPr="009D61E6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r w:rsidRPr="009D61E6">
              <w:rPr>
                <w:rFonts w:asciiTheme="minorHAnsi" w:hAnsiTheme="minorHAnsi"/>
              </w:rPr>
              <w:t>[μM]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proofErr w:type="spellStart"/>
            <w:r w:rsidRPr="0075095B">
              <w:rPr>
                <w:rFonts w:asciiTheme="minorHAnsi" w:hAnsiTheme="minorHAnsi"/>
              </w:rPr>
              <w:t>Olavarria</w:t>
            </w:r>
            <w:proofErr w:type="spellEnd"/>
            <w:r w:rsidRPr="0075095B">
              <w:rPr>
                <w:rFonts w:asciiTheme="minorHAnsi" w:hAnsiTheme="minorHAnsi"/>
              </w:rPr>
              <w:t xml:space="preserve"> et al</w:t>
            </w:r>
            <w:r>
              <w:rPr>
                <w:rFonts w:asciiTheme="minorHAnsi" w:hAnsiTheme="minorHAnsi"/>
              </w:rPr>
              <w:t xml:space="preserve"> </w:t>
            </w:r>
            <w:r w:rsidR="003E6528">
              <w:rPr>
                <w:rFonts w:asciiTheme="minorHAnsi" w:hAnsiTheme="minorHAnsi"/>
              </w:rPr>
              <w:t>[5]</w:t>
            </w:r>
            <w:bookmarkStart w:id="0" w:name="_GoBack"/>
            <w:bookmarkEnd w:id="0"/>
          </w:p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r w:rsidRPr="009D61E6">
              <w:rPr>
                <w:rFonts w:asciiTheme="minorHAnsi" w:hAnsiTheme="minorHAnsi"/>
              </w:rPr>
              <w:t>[μM]</w:t>
            </w: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</w:tcPr>
          <w:p w:rsidR="0075095B" w:rsidRPr="003E6528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b/>
                <w:lang w:val="en-US"/>
              </w:rPr>
            </w:pPr>
            <w:r w:rsidRPr="003E6528">
              <w:rPr>
                <w:rFonts w:asciiTheme="minorHAnsi" w:hAnsiTheme="minorHAnsi"/>
                <w:b/>
                <w:i/>
                <w:lang w:val="en-US"/>
              </w:rPr>
              <w:t>Substrate K</w:t>
            </w:r>
            <w:r w:rsidRPr="003E6528">
              <w:rPr>
                <w:rFonts w:asciiTheme="minorHAnsi" w:hAnsiTheme="minorHAnsi"/>
                <w:b/>
                <w:i/>
                <w:vertAlign w:val="subscript"/>
                <w:lang w:val="en-US"/>
              </w:rPr>
              <w:t>m</w:t>
            </w:r>
            <w:r w:rsidRPr="003E6528">
              <w:rPr>
                <w:rFonts w:asciiTheme="minorHAnsi" w:hAnsiTheme="minorHAnsi"/>
                <w:b/>
                <w:lang w:val="en-US"/>
              </w:rPr>
              <w:t>:</w:t>
            </w:r>
          </w:p>
        </w:tc>
        <w:tc>
          <w:tcPr>
            <w:tcW w:w="1962" w:type="dxa"/>
            <w:tcBorders>
              <w:top w:val="single" w:sz="4" w:space="0" w:color="auto"/>
            </w:tcBorders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</w:tcPr>
          <w:p w:rsidR="0075095B" w:rsidRPr="009D61E6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 w:rsidRPr="009D61E6">
              <w:rPr>
                <w:rFonts w:asciiTheme="minorHAnsi" w:hAnsiTheme="minorHAnsi"/>
                <w:lang w:val="en-US"/>
              </w:rPr>
              <w:t>NADP</w:t>
            </w:r>
            <w:r w:rsidRPr="009D61E6">
              <w:rPr>
                <w:rFonts w:asciiTheme="minorHAnsi" w:hAnsiTheme="minorHAnsi"/>
                <w:vertAlign w:val="superscript"/>
                <w:lang w:val="en-US"/>
              </w:rPr>
              <w:t>+</w:t>
            </w:r>
            <w:r w:rsidRPr="009D61E6"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62" w:type="dxa"/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23</w:t>
            </w:r>
          </w:p>
        </w:tc>
        <w:tc>
          <w:tcPr>
            <w:tcW w:w="2409" w:type="dxa"/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7.5 ± 0.8</w:t>
            </w: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</w:tcPr>
          <w:p w:rsidR="0075095B" w:rsidRPr="009D61E6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 w:rsidRPr="009D61E6">
              <w:rPr>
                <w:rFonts w:asciiTheme="minorHAnsi" w:hAnsiTheme="minorHAnsi"/>
                <w:lang w:val="en-US"/>
              </w:rPr>
              <w:t>glucose-6-phosphate</w:t>
            </w:r>
          </w:p>
        </w:tc>
        <w:tc>
          <w:tcPr>
            <w:tcW w:w="1962" w:type="dxa"/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136</w:t>
            </w:r>
          </w:p>
        </w:tc>
        <w:tc>
          <w:tcPr>
            <w:tcW w:w="2409" w:type="dxa"/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174 ± 11</w:t>
            </w: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</w:tcPr>
          <w:p w:rsidR="0075095B" w:rsidRPr="003E6528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b/>
                <w:lang w:val="en-US"/>
              </w:rPr>
            </w:pPr>
            <w:r w:rsidRPr="003E6528">
              <w:rPr>
                <w:rFonts w:asciiTheme="minorHAnsi" w:hAnsiTheme="minorHAnsi"/>
                <w:b/>
                <w:i/>
                <w:lang w:val="en-US"/>
              </w:rPr>
              <w:t>NADP</w:t>
            </w:r>
            <w:r w:rsidRPr="003E6528">
              <w:rPr>
                <w:rFonts w:asciiTheme="minorHAnsi" w:hAnsiTheme="minorHAnsi"/>
                <w:b/>
                <w:i/>
                <w:vertAlign w:val="superscript"/>
                <w:lang w:val="en-US"/>
              </w:rPr>
              <w:t>+</w:t>
            </w:r>
            <w:r w:rsidRPr="003E6528">
              <w:rPr>
                <w:rFonts w:asciiTheme="minorHAnsi" w:hAnsiTheme="minorHAnsi"/>
                <w:b/>
                <w:i/>
                <w:lang w:val="en-US"/>
              </w:rPr>
              <w:t xml:space="preserve"> dissociation K</w:t>
            </w:r>
            <w:r w:rsidRPr="003E6528">
              <w:rPr>
                <w:rFonts w:asciiTheme="minorHAnsi" w:hAnsiTheme="minorHAnsi"/>
                <w:b/>
                <w:i/>
                <w:vertAlign w:val="subscript"/>
                <w:lang w:val="en-US"/>
              </w:rPr>
              <w:t>i</w:t>
            </w:r>
            <w:r w:rsidRPr="003E6528">
              <w:rPr>
                <w:rFonts w:asciiTheme="minorHAnsi" w:hAnsiTheme="minorHAnsi"/>
                <w:b/>
                <w:lang w:val="en-US"/>
              </w:rPr>
              <w:t>:</w:t>
            </w:r>
          </w:p>
        </w:tc>
        <w:tc>
          <w:tcPr>
            <w:tcW w:w="1962" w:type="dxa"/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</w:p>
        </w:tc>
        <w:tc>
          <w:tcPr>
            <w:tcW w:w="2409" w:type="dxa"/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</w:tcPr>
          <w:p w:rsidR="0075095B" w:rsidRPr="009D61E6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 w:rsidRPr="009D61E6">
              <w:rPr>
                <w:rFonts w:asciiTheme="minorHAnsi" w:hAnsiTheme="minorHAnsi"/>
                <w:lang w:val="en-US"/>
              </w:rPr>
              <w:t>NADP</w:t>
            </w:r>
            <w:r w:rsidRPr="009D61E6">
              <w:rPr>
                <w:rFonts w:asciiTheme="minorHAnsi" w:hAnsiTheme="minorHAnsi"/>
                <w:vertAlign w:val="superscript"/>
                <w:lang w:val="en-US"/>
              </w:rPr>
              <w:t>+</w:t>
            </w:r>
            <w:r w:rsidRPr="009D61E6">
              <w:rPr>
                <w:rFonts w:asciiTheme="minorHAnsi" w:hAnsiTheme="minorHAnsi"/>
                <w:lang w:val="en-US"/>
              </w:rPr>
              <w:t xml:space="preserve"> </w:t>
            </w:r>
          </w:p>
        </w:tc>
        <w:tc>
          <w:tcPr>
            <w:tcW w:w="1962" w:type="dxa"/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90</w:t>
            </w:r>
          </w:p>
        </w:tc>
        <w:tc>
          <w:tcPr>
            <w:tcW w:w="2409" w:type="dxa"/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19 ± 4</w:t>
            </w: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</w:tcPr>
          <w:p w:rsidR="0075095B" w:rsidRPr="003E6528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b/>
                <w:lang w:val="en-US"/>
              </w:rPr>
            </w:pPr>
            <w:r w:rsidRPr="003E6528">
              <w:rPr>
                <w:rFonts w:asciiTheme="minorHAnsi" w:hAnsiTheme="minorHAnsi"/>
                <w:b/>
                <w:i/>
                <w:lang w:val="en-US"/>
              </w:rPr>
              <w:t>NADPH inhibition K</w:t>
            </w:r>
            <w:r w:rsidRPr="003E6528">
              <w:rPr>
                <w:rFonts w:asciiTheme="minorHAnsi" w:hAnsiTheme="minorHAnsi"/>
                <w:b/>
                <w:i/>
                <w:vertAlign w:val="subscript"/>
                <w:lang w:val="en-US"/>
              </w:rPr>
              <w:t>i</w:t>
            </w:r>
            <w:r w:rsidRPr="003E6528">
              <w:rPr>
                <w:rFonts w:asciiTheme="minorHAnsi" w:hAnsiTheme="minorHAnsi"/>
                <w:b/>
                <w:lang w:val="en-US"/>
              </w:rPr>
              <w:t>:</w:t>
            </w:r>
          </w:p>
        </w:tc>
        <w:tc>
          <w:tcPr>
            <w:tcW w:w="1962" w:type="dxa"/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</w:p>
        </w:tc>
        <w:tc>
          <w:tcPr>
            <w:tcW w:w="2409" w:type="dxa"/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</w:tcPr>
          <w:p w:rsidR="0075095B" w:rsidRPr="009D61E6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proofErr w:type="spellStart"/>
            <w:r w:rsidRPr="009D61E6">
              <w:rPr>
                <w:rFonts w:asciiTheme="minorHAnsi" w:hAnsiTheme="minorHAnsi"/>
                <w:lang w:val="en-US"/>
              </w:rPr>
              <w:t>K</w:t>
            </w:r>
            <w:r w:rsidRPr="009D61E6">
              <w:rPr>
                <w:rFonts w:asciiTheme="minorHAnsi" w:hAnsiTheme="minorHAnsi"/>
                <w:vertAlign w:val="subscript"/>
                <w:lang w:val="en-US"/>
              </w:rPr>
              <w:t>ic,NADP</w:t>
            </w:r>
            <w:proofErr w:type="spellEnd"/>
            <w:r w:rsidRPr="009D61E6">
              <w:rPr>
                <w:rFonts w:asciiTheme="minorHAnsi" w:hAnsiTheme="minorHAnsi"/>
                <w:vertAlign w:val="subscript"/>
                <w:lang w:val="en-US"/>
              </w:rPr>
              <w:t xml:space="preserve">+ </w:t>
            </w:r>
          </w:p>
        </w:tc>
        <w:tc>
          <w:tcPr>
            <w:tcW w:w="1962" w:type="dxa"/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35</w:t>
            </w:r>
          </w:p>
        </w:tc>
        <w:tc>
          <w:tcPr>
            <w:tcW w:w="2409" w:type="dxa"/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14 ± 2</w:t>
            </w:r>
          </w:p>
        </w:tc>
      </w:tr>
      <w:tr w:rsidR="0075095B" w:rsidRPr="0075095B" w:rsidTr="00A22AEA">
        <w:trPr>
          <w:jc w:val="center"/>
        </w:trPr>
        <w:tc>
          <w:tcPr>
            <w:tcW w:w="2433" w:type="dxa"/>
          </w:tcPr>
          <w:p w:rsidR="0075095B" w:rsidRPr="009D61E6" w:rsidRDefault="0075095B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 w:rsidRPr="009D61E6">
              <w:rPr>
                <w:rFonts w:asciiTheme="minorHAnsi" w:hAnsiTheme="minorHAnsi"/>
                <w:lang w:val="en-US"/>
              </w:rPr>
              <w:t>K</w:t>
            </w:r>
            <w:r w:rsidRPr="009D61E6">
              <w:rPr>
                <w:rFonts w:asciiTheme="minorHAnsi" w:hAnsiTheme="minorHAnsi"/>
                <w:vertAlign w:val="subscript"/>
                <w:lang w:val="en-US"/>
              </w:rPr>
              <w:t>ic,glucose-6-phosphate</w:t>
            </w:r>
          </w:p>
        </w:tc>
        <w:tc>
          <w:tcPr>
            <w:tcW w:w="1962" w:type="dxa"/>
          </w:tcPr>
          <w:p w:rsidR="0075095B" w:rsidRPr="0075095B" w:rsidRDefault="0075095B" w:rsidP="0075095B">
            <w:pPr>
              <w:spacing w:line="259" w:lineRule="auto"/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100</w:t>
            </w:r>
          </w:p>
        </w:tc>
        <w:tc>
          <w:tcPr>
            <w:tcW w:w="2409" w:type="dxa"/>
          </w:tcPr>
          <w:p w:rsidR="0075095B" w:rsidRPr="0075095B" w:rsidRDefault="0075095B" w:rsidP="0075095B">
            <w:pPr>
              <w:ind w:right="47"/>
              <w:rPr>
                <w:rFonts w:asciiTheme="minorHAnsi" w:hAnsiTheme="minorHAnsi"/>
              </w:rPr>
            </w:pPr>
            <w:r w:rsidRPr="0075095B">
              <w:rPr>
                <w:rFonts w:asciiTheme="minorHAnsi" w:hAnsiTheme="minorHAnsi"/>
              </w:rPr>
              <w:t>101 ± 9</w:t>
            </w:r>
          </w:p>
        </w:tc>
      </w:tr>
      <w:tr w:rsidR="00F72959" w:rsidRPr="00F72959" w:rsidTr="00A22AEA">
        <w:trPr>
          <w:jc w:val="center"/>
        </w:trPr>
        <w:tc>
          <w:tcPr>
            <w:tcW w:w="2433" w:type="dxa"/>
          </w:tcPr>
          <w:p w:rsidR="00F72959" w:rsidRPr="003E6528" w:rsidRDefault="00F72959" w:rsidP="00F72959">
            <w:pPr>
              <w:spacing w:after="160" w:line="259" w:lineRule="auto"/>
              <w:ind w:right="-227"/>
              <w:rPr>
                <w:rFonts w:asciiTheme="minorHAnsi" w:hAnsiTheme="minorHAnsi"/>
                <w:b/>
                <w:i/>
                <w:lang w:val="en-US"/>
              </w:rPr>
            </w:pPr>
            <w:r w:rsidRPr="003E6528">
              <w:rPr>
                <w:rFonts w:asciiTheme="minorHAnsi" w:hAnsiTheme="minorHAnsi"/>
                <w:b/>
                <w:i/>
                <w:lang w:val="en-US"/>
              </w:rPr>
              <w:t>Intracellular Concentrations</w:t>
            </w:r>
          </w:p>
        </w:tc>
        <w:tc>
          <w:tcPr>
            <w:tcW w:w="1962" w:type="dxa"/>
          </w:tcPr>
          <w:p w:rsidR="00F72959" w:rsidRPr="00F72959" w:rsidRDefault="00F72959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409" w:type="dxa"/>
          </w:tcPr>
          <w:p w:rsidR="00F72959" w:rsidRPr="00F72959" w:rsidRDefault="00F72959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</w:p>
        </w:tc>
      </w:tr>
      <w:tr w:rsidR="003E6528" w:rsidRPr="003E6528" w:rsidTr="00A22AEA">
        <w:trPr>
          <w:jc w:val="center"/>
        </w:trPr>
        <w:tc>
          <w:tcPr>
            <w:tcW w:w="2433" w:type="dxa"/>
          </w:tcPr>
          <w:p w:rsidR="003E6528" w:rsidRPr="003E6528" w:rsidRDefault="003E6528" w:rsidP="003E6528">
            <w:pPr>
              <w:spacing w:after="160" w:line="259" w:lineRule="auto"/>
              <w:ind w:right="-227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w</w:t>
            </w:r>
            <w:r w:rsidRPr="003E6528">
              <w:rPr>
                <w:rFonts w:asciiTheme="minorHAnsi" w:hAnsiTheme="minorHAnsi"/>
                <w:b/>
                <w:lang w:val="en-US"/>
              </w:rPr>
              <w:t>ild-type</w:t>
            </w:r>
          </w:p>
        </w:tc>
        <w:tc>
          <w:tcPr>
            <w:tcW w:w="1962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409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</w:p>
        </w:tc>
      </w:tr>
      <w:tr w:rsidR="00F72959" w:rsidRPr="003E6528" w:rsidTr="00A22AEA">
        <w:trPr>
          <w:jc w:val="center"/>
        </w:trPr>
        <w:tc>
          <w:tcPr>
            <w:tcW w:w="2433" w:type="dxa"/>
          </w:tcPr>
          <w:p w:rsidR="00F72959" w:rsidRPr="00F72959" w:rsidRDefault="00F72959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 w:rsidRPr="00F72959">
              <w:rPr>
                <w:rFonts w:asciiTheme="minorHAnsi" w:hAnsiTheme="minorHAnsi"/>
                <w:lang w:val="en-US"/>
              </w:rPr>
              <w:t>Glucose</w:t>
            </w:r>
            <w:r>
              <w:rPr>
                <w:rFonts w:asciiTheme="minorHAnsi" w:hAnsiTheme="minorHAnsi"/>
                <w:lang w:val="en-US"/>
              </w:rPr>
              <w:t>-6-phosphate</w:t>
            </w:r>
          </w:p>
        </w:tc>
        <w:tc>
          <w:tcPr>
            <w:tcW w:w="1962" w:type="dxa"/>
          </w:tcPr>
          <w:p w:rsidR="00F72959" w:rsidRPr="003E6528" w:rsidRDefault="003E6528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 w:rsidRPr="003E6528">
              <w:rPr>
                <w:rFonts w:asciiTheme="minorHAnsi" w:hAnsiTheme="minorHAnsi"/>
                <w:lang w:val="en-US"/>
              </w:rPr>
              <w:t xml:space="preserve">289 </w:t>
            </w:r>
            <w:r>
              <w:rPr>
                <w:rFonts w:ascii="Calibri" w:hAnsi="Calibri"/>
                <w:lang w:val="en-US"/>
              </w:rPr>
              <w:t>±</w:t>
            </w:r>
            <w:r w:rsidRPr="003E6528">
              <w:rPr>
                <w:rFonts w:asciiTheme="minorHAnsi" w:hAnsiTheme="minorHAnsi"/>
                <w:lang w:val="en-US"/>
              </w:rPr>
              <w:t xml:space="preserve"> 2</w:t>
            </w:r>
          </w:p>
        </w:tc>
        <w:tc>
          <w:tcPr>
            <w:tcW w:w="2409" w:type="dxa"/>
          </w:tcPr>
          <w:p w:rsidR="00F72959" w:rsidRPr="003E6528" w:rsidRDefault="003E6528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801</w:t>
            </w:r>
          </w:p>
        </w:tc>
      </w:tr>
      <w:tr w:rsidR="003E6528" w:rsidRPr="003E6528" w:rsidTr="00A22AEA">
        <w:trPr>
          <w:jc w:val="center"/>
        </w:trPr>
        <w:tc>
          <w:tcPr>
            <w:tcW w:w="2433" w:type="dxa"/>
          </w:tcPr>
          <w:p w:rsidR="003E6528" w:rsidRPr="003E6528" w:rsidRDefault="003E6528" w:rsidP="003E6528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NADP</w:t>
            </w:r>
            <w:r w:rsidRPr="003E6528">
              <w:rPr>
                <w:rFonts w:asciiTheme="minorHAnsi" w:hAnsiTheme="minorHAnsi"/>
                <w:vertAlign w:val="superscript"/>
                <w:lang w:val="en-US"/>
              </w:rPr>
              <w:t>+</w:t>
            </w:r>
          </w:p>
        </w:tc>
        <w:tc>
          <w:tcPr>
            <w:tcW w:w="1962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581 </w:t>
            </w:r>
            <w:r>
              <w:rPr>
                <w:rFonts w:ascii="Calibri" w:hAnsi="Calibri"/>
                <w:lang w:val="en-US"/>
              </w:rPr>
              <w:t>±</w:t>
            </w:r>
            <w:r>
              <w:rPr>
                <w:rFonts w:ascii="Calibri" w:hAnsi="Calibri"/>
                <w:lang w:val="en-US"/>
              </w:rPr>
              <w:t xml:space="preserve"> 13</w:t>
            </w:r>
          </w:p>
        </w:tc>
        <w:tc>
          <w:tcPr>
            <w:tcW w:w="2409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21-210</w:t>
            </w:r>
          </w:p>
        </w:tc>
      </w:tr>
      <w:tr w:rsidR="003E6528" w:rsidRPr="003E6528" w:rsidTr="00A22AEA">
        <w:trPr>
          <w:jc w:val="center"/>
        </w:trPr>
        <w:tc>
          <w:tcPr>
            <w:tcW w:w="2433" w:type="dxa"/>
          </w:tcPr>
          <w:p w:rsidR="003E6528" w:rsidRPr="003E6528" w:rsidRDefault="003E6528" w:rsidP="003E6528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NADPH</w:t>
            </w:r>
          </w:p>
        </w:tc>
        <w:tc>
          <w:tcPr>
            <w:tcW w:w="1962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191 </w:t>
            </w:r>
            <w:r>
              <w:rPr>
                <w:rFonts w:ascii="Calibri" w:hAnsi="Calibri"/>
                <w:lang w:val="en-US"/>
              </w:rPr>
              <w:t>±</w:t>
            </w:r>
            <w:r>
              <w:rPr>
                <w:rFonts w:ascii="Calibri" w:hAnsi="Calibri"/>
                <w:lang w:val="en-US"/>
              </w:rPr>
              <w:t xml:space="preserve"> 20</w:t>
            </w:r>
          </w:p>
        </w:tc>
        <w:tc>
          <w:tcPr>
            <w:tcW w:w="2409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24-220</w:t>
            </w:r>
          </w:p>
        </w:tc>
      </w:tr>
      <w:tr w:rsidR="003E6528" w:rsidRPr="003E6528" w:rsidTr="00A22AEA">
        <w:trPr>
          <w:jc w:val="center"/>
        </w:trPr>
        <w:tc>
          <w:tcPr>
            <w:tcW w:w="2433" w:type="dxa"/>
          </w:tcPr>
          <w:p w:rsidR="003E6528" w:rsidRPr="003E6528" w:rsidRDefault="003E6528" w:rsidP="003E6528">
            <w:pPr>
              <w:spacing w:after="160" w:line="259" w:lineRule="auto"/>
              <w:ind w:right="-227"/>
              <w:rPr>
                <w:rFonts w:asciiTheme="minorHAnsi" w:hAnsiTheme="minorHAnsi"/>
                <w:b/>
                <w:lang w:val="en-US"/>
              </w:rPr>
            </w:pPr>
            <w:proofErr w:type="spellStart"/>
            <w:r w:rsidRPr="003E6528">
              <w:rPr>
                <w:rFonts w:asciiTheme="minorHAnsi" w:hAnsiTheme="minorHAnsi"/>
                <w:b/>
                <w:lang w:val="en-US"/>
              </w:rPr>
              <w:t>Δ</w:t>
            </w:r>
            <w:r w:rsidRPr="003E6528">
              <w:rPr>
                <w:rFonts w:asciiTheme="minorHAnsi" w:hAnsiTheme="minorHAnsi"/>
                <w:b/>
                <w:i/>
                <w:lang w:val="en-US"/>
              </w:rPr>
              <w:t>pgi</w:t>
            </w:r>
            <w:proofErr w:type="spellEnd"/>
          </w:p>
        </w:tc>
        <w:tc>
          <w:tcPr>
            <w:tcW w:w="1962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409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</w:p>
        </w:tc>
      </w:tr>
      <w:tr w:rsidR="003E6528" w:rsidRPr="003E6528" w:rsidTr="00A22AEA">
        <w:trPr>
          <w:jc w:val="center"/>
        </w:trPr>
        <w:tc>
          <w:tcPr>
            <w:tcW w:w="2433" w:type="dxa"/>
          </w:tcPr>
          <w:p w:rsidR="003E6528" w:rsidRPr="003E6528" w:rsidRDefault="003E6528" w:rsidP="003E6528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 w:rsidRPr="003E6528">
              <w:rPr>
                <w:rFonts w:asciiTheme="minorHAnsi" w:hAnsiTheme="minorHAnsi"/>
                <w:lang w:val="en-US"/>
              </w:rPr>
              <w:t>Glucose-6-phosphate</w:t>
            </w:r>
          </w:p>
        </w:tc>
        <w:tc>
          <w:tcPr>
            <w:tcW w:w="1962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3301 </w:t>
            </w:r>
            <w:r>
              <w:rPr>
                <w:rFonts w:ascii="Calibri" w:hAnsi="Calibri"/>
                <w:lang w:val="en-US"/>
              </w:rPr>
              <w:t>±</w:t>
            </w:r>
            <w:r>
              <w:rPr>
                <w:rFonts w:asciiTheme="minorHAnsi" w:hAnsiTheme="minorHAnsi"/>
                <w:lang w:val="en-US"/>
              </w:rPr>
              <w:t xml:space="preserve"> 41</w:t>
            </w:r>
          </w:p>
        </w:tc>
        <w:tc>
          <w:tcPr>
            <w:tcW w:w="2409" w:type="dxa"/>
          </w:tcPr>
          <w:p w:rsidR="003E6528" w:rsidRPr="003E6528" w:rsidRDefault="003E6528" w:rsidP="003E6528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  <w:tr w:rsidR="00F72959" w:rsidRPr="003E6528" w:rsidTr="00A22AEA">
        <w:trPr>
          <w:jc w:val="center"/>
        </w:trPr>
        <w:tc>
          <w:tcPr>
            <w:tcW w:w="2433" w:type="dxa"/>
          </w:tcPr>
          <w:p w:rsidR="00F72959" w:rsidRPr="00F72959" w:rsidRDefault="00F72959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NADP</w:t>
            </w:r>
            <w:r w:rsidRPr="003E6528">
              <w:rPr>
                <w:rFonts w:asciiTheme="minorHAnsi" w:hAnsiTheme="minorHAnsi"/>
                <w:vertAlign w:val="superscript"/>
                <w:lang w:val="en-US"/>
              </w:rPr>
              <w:t>+</w:t>
            </w:r>
          </w:p>
        </w:tc>
        <w:tc>
          <w:tcPr>
            <w:tcW w:w="1962" w:type="dxa"/>
          </w:tcPr>
          <w:p w:rsidR="00F72959" w:rsidRPr="003E6528" w:rsidRDefault="003E6528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400 </w:t>
            </w:r>
            <w:r>
              <w:rPr>
                <w:rFonts w:ascii="Calibri" w:hAnsi="Calibri"/>
                <w:lang w:val="en-US"/>
              </w:rPr>
              <w:t>±</w:t>
            </w:r>
            <w:r>
              <w:rPr>
                <w:rFonts w:ascii="Calibri" w:hAnsi="Calibri"/>
                <w:lang w:val="en-US"/>
              </w:rPr>
              <w:t xml:space="preserve"> 31</w:t>
            </w:r>
          </w:p>
        </w:tc>
        <w:tc>
          <w:tcPr>
            <w:tcW w:w="2409" w:type="dxa"/>
          </w:tcPr>
          <w:p w:rsidR="00F72959" w:rsidRPr="003E6528" w:rsidRDefault="003E6528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  <w:tr w:rsidR="00F72959" w:rsidRPr="003E6528" w:rsidTr="00A22AEA">
        <w:trPr>
          <w:jc w:val="center"/>
        </w:trPr>
        <w:tc>
          <w:tcPr>
            <w:tcW w:w="2433" w:type="dxa"/>
            <w:tcBorders>
              <w:bottom w:val="single" w:sz="4" w:space="0" w:color="auto"/>
            </w:tcBorders>
          </w:tcPr>
          <w:p w:rsidR="00F72959" w:rsidRPr="00F72959" w:rsidRDefault="00F72959" w:rsidP="00F72959">
            <w:pPr>
              <w:spacing w:after="160" w:line="259" w:lineRule="auto"/>
              <w:ind w:right="-22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NADPH</w:t>
            </w: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:rsidR="00F72959" w:rsidRPr="003E6528" w:rsidRDefault="003E6528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211 </w:t>
            </w:r>
            <w:r>
              <w:rPr>
                <w:rFonts w:ascii="Calibri" w:hAnsi="Calibri"/>
                <w:lang w:val="en-US"/>
              </w:rPr>
              <w:t>±</w:t>
            </w:r>
            <w:r>
              <w:rPr>
                <w:rFonts w:ascii="Calibri" w:hAnsi="Calibri"/>
                <w:lang w:val="en-US"/>
              </w:rPr>
              <w:t xml:space="preserve"> 9</w:t>
            </w:r>
            <w:r w:rsidR="00F72959" w:rsidRPr="003E6528">
              <w:rPr>
                <w:rFonts w:asciiTheme="minorHAnsi" w:hAnsiTheme="minorHAnsi"/>
                <w:lang w:val="en-US"/>
              </w:rPr>
              <w:t>x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F72959" w:rsidRPr="003E6528" w:rsidRDefault="003E6528" w:rsidP="00F72959">
            <w:pPr>
              <w:spacing w:after="160" w:line="259" w:lineRule="auto"/>
              <w:ind w:right="47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</w:tbl>
    <w:p w:rsidR="00757E11" w:rsidRDefault="00757E11"/>
    <w:p w:rsidR="00757E11" w:rsidRDefault="006B143B" w:rsidP="006B143B">
      <w:pPr>
        <w:jc w:val="both"/>
      </w:pPr>
      <w:r w:rsidRPr="006B143B">
        <w:lastRenderedPageBreak/>
        <w:t xml:space="preserve">For the </w:t>
      </w:r>
      <w:r w:rsidR="00F72959">
        <w:t xml:space="preserve">initial </w:t>
      </w:r>
      <w:r w:rsidRPr="006B143B">
        <w:t>rate predictions using intracellular metabolite concentrations</w:t>
      </w:r>
      <w:r w:rsidR="00F72959">
        <w:t xml:space="preserve"> shown in Figure 2</w:t>
      </w:r>
      <w:r w:rsidRPr="006B143B">
        <w:t>, the rate laws</w:t>
      </w:r>
      <w:r w:rsidR="00F72959">
        <w:t xml:space="preserve"> (equations 1 &amp; 2)</w:t>
      </w:r>
      <w:r w:rsidRPr="006B143B">
        <w:t xml:space="preserve"> describing the forward reaction in the presence of both educts and products were used that were previously published for glucose-6P dehydrogenase </w:t>
      </w:r>
      <w:r w:rsidR="0030215B">
        <w:t xml:space="preserve">in </w:t>
      </w:r>
      <w:r w:rsidRPr="0030215B">
        <w:rPr>
          <w:i/>
        </w:rPr>
        <w:t>E. coli</w:t>
      </w:r>
      <w:r w:rsidRPr="006B143B">
        <w:t xml:space="preserve"> (</w:t>
      </w:r>
      <w:r w:rsidR="0030215B">
        <w:t>1</w:t>
      </w:r>
      <w:r w:rsidRPr="006B143B">
        <w:t>). Only the forward reaction with NADPH inhibition was simulated since the 6P-gluconolactone produced reacts rapidly further to 6P-gluconate an</w:t>
      </w:r>
      <w:r w:rsidR="00A22AEA">
        <w:t>d in addition is very instable [2]</w:t>
      </w:r>
      <w:r>
        <w:t>.</w:t>
      </w:r>
    </w:p>
    <w:p w:rsidR="00757E11" w:rsidRDefault="00757E11"/>
    <w:p w:rsidR="00F6372A" w:rsidRDefault="00F6372A">
      <w:r>
        <w:br w:type="page"/>
      </w:r>
    </w:p>
    <w:p w:rsidR="000E04EA" w:rsidRDefault="000E04EA">
      <w:r>
        <w:lastRenderedPageBreak/>
        <w:t>Methods</w:t>
      </w:r>
    </w:p>
    <w:p w:rsidR="00A22AEA" w:rsidRDefault="00A22AEA"/>
    <w:p w:rsidR="00A22AEA" w:rsidRPr="00A22AEA" w:rsidRDefault="00A22AEA">
      <w:pPr>
        <w:rPr>
          <w:i/>
        </w:rPr>
      </w:pPr>
      <w:r w:rsidRPr="00A22AEA">
        <w:rPr>
          <w:i/>
        </w:rPr>
        <w:t>Quantification of intracellular metabolite concentrations</w:t>
      </w:r>
    </w:p>
    <w:p w:rsidR="00A22AEA" w:rsidRDefault="00A22AEA"/>
    <w:p w:rsidR="00A22AEA" w:rsidRPr="00A22AEA" w:rsidRDefault="00A22AEA" w:rsidP="00A22AEA">
      <w:pPr>
        <w:jc w:val="both"/>
      </w:pPr>
      <w:r w:rsidRPr="00A22AEA">
        <w:t xml:space="preserve">All measurements were carried out on an Agilent 1100 Series HPLC system coupled with an Applied Biosystems / MDS SCIEX 4000 Q TRAP™. Data were recorded and analyzed with Analyst Software Version 1.4.2 Build 1228. Chromatographic separation was achieved on a </w:t>
      </w:r>
      <w:proofErr w:type="spellStart"/>
      <w:r w:rsidRPr="00A22AEA">
        <w:t>Phenomenex</w:t>
      </w:r>
      <w:proofErr w:type="spellEnd"/>
      <w:r w:rsidRPr="00A22AEA">
        <w:t xml:space="preserve"> Hydro RP 150 mm x 2.1 mm x 4 </w:t>
      </w:r>
      <w:proofErr w:type="spellStart"/>
      <w:r w:rsidRPr="00A22AEA">
        <w:t>μm</w:t>
      </w:r>
      <w:proofErr w:type="spellEnd"/>
      <w:r w:rsidRPr="00A22AEA">
        <w:t xml:space="preserve"> column at 40°C using an adapted version of a published protocol </w:t>
      </w:r>
      <w:r>
        <w:t>[3]</w:t>
      </w:r>
      <w:r w:rsidRPr="00A22AEA">
        <w:t xml:space="preserve">. Briefly, the injected volume was 8 µl, and the mobile phase at a flow rate of 200 µl/min was directly introduced into the mass spectrometer via electro spray ionization (ESI). The gradient profile was linear with two phases (Table 1), where solution A was 10 mM tributylamine and 15 mM acetate in H2O (pH 4.95) and solution B was 100 % methanol. Multiple reaction monitoring (MRM) settings were optimized individually for each metabolite except 6P-gluconolactone for which the MRM settings were adapted from 6P-gluconate </w:t>
      </w:r>
      <w:r>
        <w:t>[3]</w:t>
      </w:r>
      <w:r w:rsidRPr="00A22AEA"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A22AEA" w:rsidTr="009E0788">
        <w:trPr>
          <w:jc w:val="center"/>
        </w:trPr>
        <w:tc>
          <w:tcPr>
            <w:tcW w:w="1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rPr>
                <w:b/>
              </w:rPr>
              <w:t>Table 1</w:t>
            </w:r>
            <w:r>
              <w:t xml:space="preserve"> - Gradient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LC-MS/MS </w:t>
            </w:r>
            <w:proofErr w:type="spellStart"/>
            <w:r>
              <w:t>method</w:t>
            </w:r>
            <w:proofErr w:type="spellEnd"/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proofErr w:type="spellStart"/>
            <w:r w:rsidRPr="003818C6">
              <w:t>Step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Total time (min)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proofErr w:type="spellStart"/>
            <w:r w:rsidRPr="003818C6">
              <w:t>Eluent</w:t>
            </w:r>
            <w:proofErr w:type="spellEnd"/>
            <w:r w:rsidRPr="003818C6">
              <w:t xml:space="preserve"> A (vol.%)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proofErr w:type="spellStart"/>
            <w:r w:rsidRPr="003818C6">
              <w:t>Eluent</w:t>
            </w:r>
            <w:proofErr w:type="spellEnd"/>
            <w:r w:rsidRPr="003818C6">
              <w:t xml:space="preserve"> B (vol.%)</w:t>
            </w:r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0</w:t>
            </w:r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55</w:t>
            </w:r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66</w:t>
            </w:r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100</w:t>
            </w:r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100</w:t>
            </w:r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0</w:t>
            </w:r>
          </w:p>
        </w:tc>
      </w:tr>
      <w:tr w:rsidR="00A22AEA" w:rsidRPr="003818C6" w:rsidTr="009E0788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 w:rsidRPr="003818C6"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2AEA" w:rsidRPr="003818C6" w:rsidRDefault="00A22AEA" w:rsidP="009E0788">
            <w:pPr>
              <w:spacing w:line="360" w:lineRule="auto"/>
              <w:jc w:val="center"/>
            </w:pPr>
            <w:r>
              <w:t>0</w:t>
            </w:r>
          </w:p>
        </w:tc>
      </w:tr>
    </w:tbl>
    <w:p w:rsidR="00A22AEA" w:rsidRDefault="00A22AEA"/>
    <w:p w:rsidR="00A22AEA" w:rsidRPr="00A22AEA" w:rsidRDefault="00A22AEA">
      <w:pPr>
        <w:rPr>
          <w:i/>
        </w:rPr>
      </w:pPr>
      <w:r w:rsidRPr="00A22AEA">
        <w:rPr>
          <w:i/>
        </w:rPr>
        <w:t>Characterization of Glucose-6-phosphate dehydrogenase</w:t>
      </w:r>
    </w:p>
    <w:p w:rsidR="00480136" w:rsidRDefault="000E04EA" w:rsidP="00480136">
      <w:pPr>
        <w:jc w:val="both"/>
      </w:pPr>
      <w:r>
        <w:t>Glucose-6</w:t>
      </w:r>
      <w:r w:rsidR="00757E11">
        <w:t>-phosphate</w:t>
      </w:r>
      <w:r>
        <w:t xml:space="preserve"> dehydrogenase was overexpressed in </w:t>
      </w:r>
      <w:r w:rsidRPr="000E04EA">
        <w:t xml:space="preserve">50 ml </w:t>
      </w:r>
      <w:r>
        <w:t>LB medium with 0.1 mM IPTG and 25 mg/L chloramphenicol</w:t>
      </w:r>
      <w:r w:rsidR="0030215B">
        <w:t xml:space="preserve"> at 37°C and 250 rpm from an overexpression plasmid obtained from the ASKA clone collection </w:t>
      </w:r>
      <w:r w:rsidR="00A22AEA">
        <w:t>[4]</w:t>
      </w:r>
      <w:r>
        <w:t xml:space="preserve">. Cells </w:t>
      </w:r>
      <w:r w:rsidRPr="000E04EA">
        <w:t>w</w:t>
      </w:r>
      <w:r>
        <w:t>ere</w:t>
      </w:r>
      <w:r w:rsidRPr="000E04EA">
        <w:t xml:space="preserve"> harvested by centrifugation </w:t>
      </w:r>
      <w:r w:rsidR="0030215B">
        <w:t>and the</w:t>
      </w:r>
      <w:r w:rsidRPr="000E04EA">
        <w:t xml:space="preserve"> pellet was washed twice </w:t>
      </w:r>
      <w:r w:rsidR="0030215B">
        <w:t>with 2</w:t>
      </w:r>
      <w:r>
        <w:t xml:space="preserve"> </w:t>
      </w:r>
      <w:r w:rsidRPr="000E04EA">
        <w:t xml:space="preserve">ml 0.9% </w:t>
      </w:r>
      <w:proofErr w:type="spellStart"/>
      <w:r w:rsidRPr="000E04EA">
        <w:t>NaCl</w:t>
      </w:r>
      <w:proofErr w:type="spellEnd"/>
      <w:r w:rsidRPr="000E04EA">
        <w:t xml:space="preserve"> </w:t>
      </w:r>
      <w:r>
        <w:t xml:space="preserve">with </w:t>
      </w:r>
      <w:r w:rsidRPr="000E04EA">
        <w:t>10 mM MgSO</w:t>
      </w:r>
      <w:r w:rsidRPr="0030215B">
        <w:rPr>
          <w:vertAlign w:val="subscript"/>
        </w:rPr>
        <w:t>4</w:t>
      </w:r>
      <w:r w:rsidRPr="000E04EA">
        <w:t xml:space="preserve">. The pellet was then </w:t>
      </w:r>
      <w:proofErr w:type="spellStart"/>
      <w:r w:rsidRPr="000E04EA">
        <w:t>resuspended</w:t>
      </w:r>
      <w:proofErr w:type="spellEnd"/>
      <w:r w:rsidRPr="000E04EA">
        <w:t xml:space="preserve"> in 4 ml ice cold 100 mM </w:t>
      </w:r>
      <w:proofErr w:type="spellStart"/>
      <w:r w:rsidRPr="000E04EA">
        <w:t>Tris</w:t>
      </w:r>
      <w:r w:rsidR="00480136">
        <w:t>-</w:t>
      </w:r>
      <w:r w:rsidRPr="000E04EA">
        <w:t>HCl</w:t>
      </w:r>
      <w:proofErr w:type="spellEnd"/>
      <w:r w:rsidRPr="000E04EA">
        <w:t xml:space="preserve"> pH 7.5, 5 mM MgCl</w:t>
      </w:r>
      <w:r w:rsidRPr="0030215B">
        <w:rPr>
          <w:vertAlign w:val="subscript"/>
        </w:rPr>
        <w:t>2</w:t>
      </w:r>
      <w:r>
        <w:t xml:space="preserve"> supplemented with </w:t>
      </w:r>
      <w:r w:rsidR="00480136" w:rsidRPr="00480136">
        <w:t>Protease</w:t>
      </w:r>
      <w:r w:rsidR="000D1411">
        <w:t>-I</w:t>
      </w:r>
      <w:r w:rsidR="00480136" w:rsidRPr="00480136">
        <w:t>nhibitor (Complete EDTA-free, Roche)</w:t>
      </w:r>
      <w:r w:rsidR="00480136">
        <w:t xml:space="preserve"> and </w:t>
      </w:r>
      <w:r w:rsidR="0030215B">
        <w:t>1</w:t>
      </w:r>
      <w:r w:rsidR="00480136">
        <w:t xml:space="preserve"> mM DTT. Cells were disrupted by passage through</w:t>
      </w:r>
      <w:r w:rsidR="0030215B">
        <w:t xml:space="preserve"> </w:t>
      </w:r>
      <w:r w:rsidR="007A0699">
        <w:t>a precooled</w:t>
      </w:r>
      <w:r w:rsidR="00480136">
        <w:t xml:space="preserve"> </w:t>
      </w:r>
      <w:r w:rsidRPr="000E04EA">
        <w:t xml:space="preserve">French press mini cell </w:t>
      </w:r>
      <w:r w:rsidR="00480136">
        <w:t xml:space="preserve">at </w:t>
      </w:r>
      <w:r w:rsidRPr="000E04EA">
        <w:t xml:space="preserve">1000 PSI </w:t>
      </w:r>
      <w:r w:rsidR="00480136">
        <w:t xml:space="preserve">and </w:t>
      </w:r>
      <w:r w:rsidRPr="000E04EA">
        <w:t xml:space="preserve">the crude extract was </w:t>
      </w:r>
      <w:r w:rsidR="0030215B">
        <w:t xml:space="preserve">subsequently </w:t>
      </w:r>
      <w:r w:rsidRPr="000E04EA">
        <w:t xml:space="preserve">centrifuged for 30 min at </w:t>
      </w:r>
      <w:r w:rsidR="0030215B">
        <w:t>23000 x g</w:t>
      </w:r>
      <w:r w:rsidRPr="000E04EA">
        <w:t xml:space="preserve"> and 4°C to </w:t>
      </w:r>
      <w:r w:rsidR="00480136">
        <w:t>obtain a clear cell lysate</w:t>
      </w:r>
      <w:r w:rsidRPr="000E04EA">
        <w:t>.</w:t>
      </w:r>
      <w:r w:rsidR="00480136">
        <w:t xml:space="preserve"> The lysate was then loaded on a </w:t>
      </w:r>
      <w:r w:rsidR="00480136" w:rsidRPr="00480136">
        <w:t xml:space="preserve">1ml </w:t>
      </w:r>
      <w:proofErr w:type="spellStart"/>
      <w:r w:rsidR="00480136" w:rsidRPr="00480136">
        <w:t>HisTrap</w:t>
      </w:r>
      <w:proofErr w:type="spellEnd"/>
      <w:r w:rsidR="00480136" w:rsidRPr="00480136">
        <w:t xml:space="preserve"> HP colum</w:t>
      </w:r>
      <w:r w:rsidR="00480136">
        <w:t xml:space="preserve">ns from </w:t>
      </w:r>
      <w:proofErr w:type="spellStart"/>
      <w:r w:rsidR="00480136">
        <w:t>Amersham</w:t>
      </w:r>
      <w:proofErr w:type="spellEnd"/>
      <w:r w:rsidR="00480136">
        <w:t xml:space="preserve"> Biosciences. The column was washed with 12 volumes of wash buffer (20 mM NaH2PO4 pH 7.5, 500 mM </w:t>
      </w:r>
      <w:proofErr w:type="spellStart"/>
      <w:r w:rsidR="00480136">
        <w:t>NaCl</w:t>
      </w:r>
      <w:proofErr w:type="spellEnd"/>
      <w:r w:rsidR="00480136">
        <w:t>, 10 mM Imidazole, 15 mM β-</w:t>
      </w:r>
      <w:proofErr w:type="spellStart"/>
      <w:r w:rsidR="00480136">
        <w:t>Mercaptoethanol</w:t>
      </w:r>
      <w:proofErr w:type="spellEnd"/>
      <w:r w:rsidR="00480136">
        <w:t>) and then the protein was eluted using increasing imidazole concentrations. Fraction</w:t>
      </w:r>
      <w:r w:rsidR="007A0699">
        <w:t>s</w:t>
      </w:r>
      <w:r w:rsidR="00480136">
        <w:t xml:space="preserve"> containing pure protein were buffer-exchanged against </w:t>
      </w:r>
      <w:r w:rsidR="000D1411">
        <w:t xml:space="preserve">100 mM </w:t>
      </w:r>
      <w:proofErr w:type="spellStart"/>
      <w:r w:rsidR="00480136">
        <w:t>Tris-HCl</w:t>
      </w:r>
      <w:proofErr w:type="spellEnd"/>
      <w:r w:rsidR="00480136">
        <w:t xml:space="preserve"> pH 7.5, 10 mM MgCl2 and 15 mM β-</w:t>
      </w:r>
      <w:proofErr w:type="spellStart"/>
      <w:r w:rsidR="00480136">
        <w:t>Mercaptoethanol</w:t>
      </w:r>
      <w:proofErr w:type="spellEnd"/>
      <w:r w:rsidR="00480136">
        <w:t xml:space="preserve"> using </w:t>
      </w:r>
      <w:r w:rsidR="0030215B">
        <w:t xml:space="preserve">25 </w:t>
      </w:r>
      <w:proofErr w:type="spellStart"/>
      <w:proofErr w:type="gramStart"/>
      <w:r w:rsidR="0030215B">
        <w:t>kD</w:t>
      </w:r>
      <w:proofErr w:type="spellEnd"/>
      <w:proofErr w:type="gramEnd"/>
      <w:r w:rsidR="0030215B">
        <w:t xml:space="preserve"> </w:t>
      </w:r>
      <w:r w:rsidR="00480136">
        <w:t>Spectra-</w:t>
      </w:r>
      <w:proofErr w:type="spellStart"/>
      <w:r w:rsidR="00480136" w:rsidRPr="00480136">
        <w:t>Por</w:t>
      </w:r>
      <w:proofErr w:type="spellEnd"/>
      <w:r w:rsidR="00480136" w:rsidRPr="00480136">
        <w:t xml:space="preserve"> Float-A-</w:t>
      </w:r>
      <w:proofErr w:type="spellStart"/>
      <w:r w:rsidR="00480136" w:rsidRPr="00480136">
        <w:t>Lyzer</w:t>
      </w:r>
      <w:proofErr w:type="spellEnd"/>
      <w:r w:rsidR="00480136">
        <w:t>.</w:t>
      </w:r>
    </w:p>
    <w:p w:rsidR="007A0699" w:rsidRDefault="007A0699" w:rsidP="007A0699">
      <w:pPr>
        <w:jc w:val="both"/>
        <w:rPr>
          <w:lang w:val="en-GB"/>
        </w:rPr>
      </w:pPr>
      <w:r>
        <w:rPr>
          <w:lang w:val="en-GB"/>
        </w:rPr>
        <w:t xml:space="preserve">All enzyme assays were run at 30°C in 100 mM </w:t>
      </w:r>
      <w:proofErr w:type="spellStart"/>
      <w:r w:rsidRPr="007A0699">
        <w:rPr>
          <w:lang w:val="en-GB"/>
        </w:rPr>
        <w:t>Tris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HCl</w:t>
      </w:r>
      <w:proofErr w:type="spellEnd"/>
      <w:r>
        <w:rPr>
          <w:lang w:val="en-GB"/>
        </w:rPr>
        <w:t xml:space="preserve"> pH7.5 and </w:t>
      </w:r>
      <w:r w:rsidRPr="007A0699">
        <w:rPr>
          <w:lang w:val="en-GB"/>
        </w:rPr>
        <w:t>10 mM</w:t>
      </w:r>
      <w:r>
        <w:rPr>
          <w:lang w:val="en-GB"/>
        </w:rPr>
        <w:t xml:space="preserve"> </w:t>
      </w:r>
      <w:r w:rsidRPr="007A0699">
        <w:rPr>
          <w:lang w:val="en-GB"/>
        </w:rPr>
        <w:t>MgCl</w:t>
      </w:r>
      <w:r w:rsidRPr="0030215B">
        <w:rPr>
          <w:vertAlign w:val="subscript"/>
          <w:lang w:val="en-GB"/>
        </w:rPr>
        <w:t>2</w:t>
      </w:r>
      <w:r>
        <w:rPr>
          <w:lang w:val="en-GB"/>
        </w:rPr>
        <w:t xml:space="preserve"> on a </w:t>
      </w:r>
      <w:proofErr w:type="spellStart"/>
      <w:r w:rsidRPr="007A0699">
        <w:rPr>
          <w:lang w:val="en-GB"/>
        </w:rPr>
        <w:t>Spectramax</w:t>
      </w:r>
      <w:proofErr w:type="spellEnd"/>
      <w:r w:rsidRPr="007A0699">
        <w:rPr>
          <w:lang w:val="en-GB"/>
        </w:rPr>
        <w:t xml:space="preserve"> Plus spectrometer </w:t>
      </w:r>
      <w:r>
        <w:rPr>
          <w:lang w:val="en-GB"/>
        </w:rPr>
        <w:t>(</w:t>
      </w:r>
      <w:r w:rsidRPr="007A0699">
        <w:rPr>
          <w:lang w:val="en-GB"/>
        </w:rPr>
        <w:t>Molecular Devices</w:t>
      </w:r>
      <w:r>
        <w:rPr>
          <w:lang w:val="en-GB"/>
        </w:rPr>
        <w:t xml:space="preserve">). Absorbance was recorded at 340 nm with 2 second interval single </w:t>
      </w:r>
      <w:r>
        <w:rPr>
          <w:lang w:val="en-GB"/>
        </w:rPr>
        <w:lastRenderedPageBreak/>
        <w:t>measurements in 1 ml cuvettes</w:t>
      </w:r>
      <w:r w:rsidR="00C06491">
        <w:rPr>
          <w:lang w:val="en-GB"/>
        </w:rPr>
        <w:t>. Purified enzyme was equilibrate with cofactor until absorbance at 340 nm was stable. T</w:t>
      </w:r>
      <w:r w:rsidR="00C06491" w:rsidRPr="00C06491">
        <w:rPr>
          <w:lang w:val="en-GB"/>
        </w:rPr>
        <w:t xml:space="preserve">he measured </w:t>
      </w:r>
      <w:r w:rsidR="00C06491">
        <w:rPr>
          <w:lang w:val="en-GB"/>
        </w:rPr>
        <w:t xml:space="preserve">absorbance </w:t>
      </w:r>
      <w:r w:rsidR="00C06491" w:rsidRPr="00C06491">
        <w:rPr>
          <w:lang w:val="en-GB"/>
        </w:rPr>
        <w:t>curve</w:t>
      </w:r>
      <w:r w:rsidR="00C06491">
        <w:rPr>
          <w:lang w:val="en-GB"/>
        </w:rPr>
        <w:t xml:space="preserve"> over time</w:t>
      </w:r>
      <w:r w:rsidR="00C06491" w:rsidRPr="00C06491">
        <w:rPr>
          <w:lang w:val="en-GB"/>
        </w:rPr>
        <w:t xml:space="preserve"> was regressed with a second order polynom</w:t>
      </w:r>
      <w:r w:rsidR="00C06491">
        <w:rPr>
          <w:lang w:val="en-GB"/>
        </w:rPr>
        <w:t>ial</w:t>
      </w:r>
      <w:r w:rsidR="00C06491" w:rsidRPr="00C06491">
        <w:rPr>
          <w:lang w:val="en-GB"/>
        </w:rPr>
        <w:t xml:space="preserve"> to determine the initial velocity at the time point when the second substrate was added and the sample was mixed.</w:t>
      </w:r>
      <w:r w:rsidR="00C06491">
        <w:rPr>
          <w:lang w:val="en-GB"/>
        </w:rPr>
        <w:t xml:space="preserve"> The K</w:t>
      </w:r>
      <w:r w:rsidR="00C06491" w:rsidRPr="00B279BA">
        <w:rPr>
          <w:vertAlign w:val="subscript"/>
          <w:lang w:val="en-GB"/>
        </w:rPr>
        <w:t>m</w:t>
      </w:r>
      <w:r w:rsidR="00B279BA">
        <w:rPr>
          <w:lang w:val="en-GB"/>
        </w:rPr>
        <w:t xml:space="preserve"> values for NADP</w:t>
      </w:r>
      <w:r w:rsidR="00B279BA" w:rsidRPr="00B279BA">
        <w:rPr>
          <w:vertAlign w:val="superscript"/>
          <w:lang w:val="en-GB"/>
        </w:rPr>
        <w:t>+</w:t>
      </w:r>
      <w:r w:rsidR="00B279BA">
        <w:rPr>
          <w:lang w:val="en-GB"/>
        </w:rPr>
        <w:t xml:space="preserve"> and glucose-6P</w:t>
      </w:r>
      <w:r w:rsidR="00C06491">
        <w:rPr>
          <w:lang w:val="en-GB"/>
        </w:rPr>
        <w:t xml:space="preserve"> and </w:t>
      </w:r>
      <w:r w:rsidR="00B279BA">
        <w:rPr>
          <w:lang w:val="en-GB"/>
        </w:rPr>
        <w:t xml:space="preserve">the </w:t>
      </w:r>
      <w:r w:rsidR="00C06491">
        <w:rPr>
          <w:lang w:val="en-GB"/>
        </w:rPr>
        <w:t>K</w:t>
      </w:r>
      <w:r w:rsidR="00C06491" w:rsidRPr="00B279BA">
        <w:rPr>
          <w:vertAlign w:val="subscript"/>
          <w:lang w:val="en-GB"/>
        </w:rPr>
        <w:t>i</w:t>
      </w:r>
      <w:r w:rsidR="00B279BA">
        <w:rPr>
          <w:lang w:val="en-GB"/>
        </w:rPr>
        <w:t xml:space="preserve"> value for NADPH</w:t>
      </w:r>
      <w:r w:rsidR="00C06491">
        <w:rPr>
          <w:lang w:val="en-GB"/>
        </w:rPr>
        <w:t xml:space="preserve"> were then obtained by varying respective substrate or inhibitor concentrations and analysis by </w:t>
      </w:r>
      <w:r w:rsidR="00B279BA">
        <w:rPr>
          <w:lang w:val="en-GB"/>
        </w:rPr>
        <w:t xml:space="preserve">primary and secondary </w:t>
      </w:r>
      <w:proofErr w:type="spellStart"/>
      <w:r w:rsidR="00C06491">
        <w:rPr>
          <w:lang w:val="en-GB"/>
        </w:rPr>
        <w:t>Lineweaver</w:t>
      </w:r>
      <w:proofErr w:type="spellEnd"/>
      <w:r w:rsidR="00C06491">
        <w:rPr>
          <w:lang w:val="en-GB"/>
        </w:rPr>
        <w:t>-Burk plots</w:t>
      </w:r>
      <w:r w:rsidR="00B279BA">
        <w:rPr>
          <w:lang w:val="en-GB"/>
        </w:rPr>
        <w:t xml:space="preserve"> assuming a sequential two-substrate mechanism </w:t>
      </w:r>
      <w:r w:rsidR="00A22AEA">
        <w:rPr>
          <w:lang w:val="en-GB"/>
        </w:rPr>
        <w:t>[1]</w:t>
      </w:r>
      <w:r w:rsidR="00B279BA">
        <w:rPr>
          <w:lang w:val="en-GB"/>
        </w:rPr>
        <w:t>:</w:t>
      </w:r>
    </w:p>
    <w:p w:rsidR="006B143B" w:rsidRDefault="006B143B" w:rsidP="007A0699">
      <w:pPr>
        <w:jc w:val="both"/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4"/>
        <w:gridCol w:w="450"/>
      </w:tblGrid>
      <w:tr w:rsidR="006B143B" w:rsidTr="006B143B">
        <w:trPr>
          <w:jc w:val="center"/>
        </w:trPr>
        <w:tc>
          <w:tcPr>
            <w:tcW w:w="4698" w:type="dxa"/>
          </w:tcPr>
          <w:p w:rsidR="006B143B" w:rsidRDefault="00B01BB4" w:rsidP="007A0699">
            <w:pPr>
              <w:jc w:val="both"/>
              <w:rPr>
                <w:lang w:val="en-GB"/>
              </w:rPr>
            </w:pPr>
            <w:r w:rsidRPr="00B01BB4">
              <w:rPr>
                <w:rFonts w:asciiTheme="minorHAnsi" w:eastAsiaTheme="minorHAnsi" w:hAnsiTheme="minorHAnsi" w:cstheme="minorBidi"/>
                <w:position w:val="-36"/>
                <w:sz w:val="22"/>
                <w:szCs w:val="22"/>
                <w:lang w:val="en-GB" w:eastAsia="en-US"/>
              </w:rPr>
              <w:object w:dxaOrig="742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25pt;height:39pt" o:ole="">
                  <v:imagedata r:id="rId4" o:title=""/>
                </v:shape>
                <o:OLEObject Type="Embed" ProgID="Equation.3" ShapeID="_x0000_i1025" DrawAspect="Content" ObjectID="_1543236787" r:id="rId5"/>
              </w:object>
            </w:r>
          </w:p>
        </w:tc>
        <w:tc>
          <w:tcPr>
            <w:tcW w:w="316" w:type="dxa"/>
          </w:tcPr>
          <w:p w:rsidR="006B143B" w:rsidRDefault="006B143B" w:rsidP="006B143B">
            <w:pPr>
              <w:jc w:val="center"/>
              <w:rPr>
                <w:lang w:val="en-GB"/>
              </w:rPr>
            </w:pPr>
          </w:p>
          <w:p w:rsidR="006B143B" w:rsidRDefault="006B143B" w:rsidP="006B14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</w:p>
        </w:tc>
      </w:tr>
    </w:tbl>
    <w:p w:rsidR="006A082F" w:rsidRDefault="006A082F" w:rsidP="00B279BA">
      <w:pPr>
        <w:rPr>
          <w:lang w:val="en-GB"/>
        </w:rPr>
      </w:pPr>
    </w:p>
    <w:p w:rsidR="006A082F" w:rsidRDefault="00B279BA" w:rsidP="00B279BA">
      <w:pPr>
        <w:rPr>
          <w:lang w:val="en-GB"/>
        </w:rPr>
      </w:pPr>
      <w:r>
        <w:rPr>
          <w:lang w:val="en-GB"/>
        </w:rPr>
        <w:t xml:space="preserve">Inhibition by NADPH was </w:t>
      </w:r>
      <w:r w:rsidR="006A082F">
        <w:rPr>
          <w:lang w:val="en-GB"/>
        </w:rPr>
        <w:t>determined</w:t>
      </w:r>
      <w:r>
        <w:rPr>
          <w:lang w:val="en-GB"/>
        </w:rPr>
        <w:t xml:space="preserve"> to be competitive with respect to NADP</w:t>
      </w:r>
      <w:r w:rsidRPr="006A082F">
        <w:rPr>
          <w:vertAlign w:val="superscript"/>
          <w:lang w:val="en-GB"/>
        </w:rPr>
        <w:t>+</w:t>
      </w:r>
      <w:r>
        <w:rPr>
          <w:lang w:val="en-GB"/>
        </w:rPr>
        <w:t xml:space="preserve"> </w:t>
      </w:r>
      <w:r w:rsidR="002F57D8">
        <w:rPr>
          <w:lang w:val="en-GB"/>
        </w:rPr>
        <w:t xml:space="preserve">which </w:t>
      </w:r>
      <w:r w:rsidR="00757E11">
        <w:rPr>
          <w:lang w:val="en-GB"/>
        </w:rPr>
        <w:t>can be included by the following inhibitory terms (</w:t>
      </w:r>
      <w:r w:rsidR="0030215B">
        <w:rPr>
          <w:lang w:val="en-GB"/>
        </w:rPr>
        <w:t>1</w:t>
      </w:r>
      <w:r w:rsidR="00757E11">
        <w:rPr>
          <w:lang w:val="en-GB"/>
        </w:rPr>
        <w:t>)</w:t>
      </w:r>
      <w:r w:rsidR="006A082F">
        <w:rPr>
          <w:lang w:val="en-GB"/>
        </w:rPr>
        <w:t>:</w:t>
      </w:r>
    </w:p>
    <w:p w:rsidR="006B143B" w:rsidRDefault="006B143B" w:rsidP="00B279BA">
      <w:pPr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4"/>
        <w:gridCol w:w="450"/>
      </w:tblGrid>
      <w:tr w:rsidR="006B143B" w:rsidTr="006B143B">
        <w:trPr>
          <w:jc w:val="center"/>
        </w:trPr>
        <w:tc>
          <w:tcPr>
            <w:tcW w:w="3261" w:type="dxa"/>
          </w:tcPr>
          <w:p w:rsidR="006B143B" w:rsidRDefault="002F57D8" w:rsidP="003A3AC5">
            <w:pPr>
              <w:jc w:val="both"/>
              <w:rPr>
                <w:lang w:val="en-GB"/>
              </w:rPr>
            </w:pPr>
            <w:r w:rsidRPr="00B01BB4">
              <w:rPr>
                <w:rFonts w:asciiTheme="minorHAnsi" w:eastAsiaTheme="minorHAnsi" w:hAnsiTheme="minorHAnsi" w:cstheme="minorBidi"/>
                <w:position w:val="-72"/>
                <w:sz w:val="18"/>
                <w:szCs w:val="22"/>
                <w:lang w:val="en-GB" w:eastAsia="en-US"/>
              </w:rPr>
              <w:object w:dxaOrig="10460" w:dyaOrig="1140">
                <v:shape id="_x0000_i1026" type="#_x0000_t75" style="width:406.5pt;height:41.25pt" o:ole="">
                  <v:imagedata r:id="rId6" o:title=""/>
                </v:shape>
                <o:OLEObject Type="Embed" ProgID="Equation.3" ShapeID="_x0000_i1026" DrawAspect="Content" ObjectID="_1543236788" r:id="rId7"/>
              </w:object>
            </w:r>
          </w:p>
        </w:tc>
        <w:tc>
          <w:tcPr>
            <w:tcW w:w="450" w:type="dxa"/>
          </w:tcPr>
          <w:p w:rsidR="006B143B" w:rsidRDefault="006B143B" w:rsidP="003A3AC5">
            <w:pPr>
              <w:jc w:val="center"/>
              <w:rPr>
                <w:lang w:val="en-GB"/>
              </w:rPr>
            </w:pPr>
          </w:p>
          <w:p w:rsidR="006B143B" w:rsidRDefault="006B143B" w:rsidP="006B143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(2)</w:t>
            </w:r>
          </w:p>
        </w:tc>
      </w:tr>
    </w:tbl>
    <w:p w:rsidR="007A0699" w:rsidRPr="007A0699" w:rsidRDefault="007A0699" w:rsidP="007A0699">
      <w:pPr>
        <w:jc w:val="both"/>
        <w:rPr>
          <w:lang w:val="en-GB"/>
        </w:rPr>
      </w:pPr>
    </w:p>
    <w:p w:rsidR="000E04EA" w:rsidRDefault="000E04EA"/>
    <w:p w:rsidR="00A62F1C" w:rsidRDefault="00A62F1C">
      <w:r>
        <w:br w:type="page"/>
      </w:r>
    </w:p>
    <w:p w:rsidR="000E04EA" w:rsidRDefault="00B279BA">
      <w:r>
        <w:lastRenderedPageBreak/>
        <w:t>Supplemental Figure</w:t>
      </w:r>
      <w:r w:rsidR="00F6372A">
        <w:t>s</w:t>
      </w:r>
    </w:p>
    <w:p w:rsidR="000E04EA" w:rsidRDefault="000E04EA"/>
    <w:p w:rsidR="00445463" w:rsidRDefault="00174214">
      <w:r>
        <w:rPr>
          <w:noProof/>
        </w:rPr>
        <w:drawing>
          <wp:inline distT="0" distB="0" distL="0" distR="0">
            <wp:extent cx="2324100" cy="1304925"/>
            <wp:effectExtent l="0" t="0" r="0" b="9525"/>
            <wp:docPr id="1" name="Picture 1" descr="C:\Toby_Work\in house projects\dimitris\g6pdh_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oby_Work\in house projects\dimitris\g6pdh_g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14" w:rsidRDefault="00174214" w:rsidP="00F6372A">
      <w:r w:rsidRPr="00F6372A">
        <w:rPr>
          <w:b/>
        </w:rPr>
        <w:t>Suppl. Figure</w:t>
      </w:r>
      <w:r w:rsidR="002F57D8" w:rsidRPr="00F6372A">
        <w:rPr>
          <w:b/>
        </w:rPr>
        <w:t xml:space="preserve"> 1</w:t>
      </w:r>
      <w:r w:rsidR="00F6372A">
        <w:t xml:space="preserve"> </w:t>
      </w:r>
      <w:r w:rsidRPr="006209B5">
        <w:t>SDS-PAGE of overexpressed</w:t>
      </w:r>
      <w:r w:rsidR="006209B5">
        <w:t xml:space="preserve"> and His-Tag purified </w:t>
      </w:r>
      <w:r w:rsidRPr="006209B5">
        <w:t>glucose-6P dehydrogenase</w:t>
      </w:r>
      <w:r w:rsidR="000E04EA">
        <w:t xml:space="preserve"> (~56.8 </w:t>
      </w:r>
      <w:proofErr w:type="spellStart"/>
      <w:proofErr w:type="gramStart"/>
      <w:r w:rsidR="000E04EA">
        <w:t>kD</w:t>
      </w:r>
      <w:proofErr w:type="spellEnd"/>
      <w:proofErr w:type="gramEnd"/>
      <w:r w:rsidR="000E04EA">
        <w:t xml:space="preserve"> including His-Tag)</w:t>
      </w:r>
      <w:r w:rsidR="006209B5">
        <w:t xml:space="preserve">. The pure </w:t>
      </w:r>
      <w:r w:rsidRPr="006209B5">
        <w:t xml:space="preserve">enzyme </w:t>
      </w:r>
      <w:r w:rsidR="006209B5">
        <w:t>was</w:t>
      </w:r>
      <w:r w:rsidRPr="006209B5">
        <w:t xml:space="preserve"> eluted with different imidazole concentrations (</w:t>
      </w:r>
      <w:r w:rsidR="005E17E2">
        <w:t xml:space="preserve">lanes 1 to 6: </w:t>
      </w:r>
      <w:r w:rsidRPr="006209B5">
        <w:t>10</w:t>
      </w:r>
      <w:r w:rsidR="006209B5">
        <w:t>0</w:t>
      </w:r>
      <w:r w:rsidR="005E17E2">
        <w:t>-200</w:t>
      </w:r>
      <w:r w:rsidR="006209B5">
        <w:t xml:space="preserve">, 200, </w:t>
      </w:r>
      <w:r w:rsidR="005E17E2">
        <w:t>200-</w:t>
      </w:r>
      <w:r w:rsidR="006209B5">
        <w:t>300</w:t>
      </w:r>
      <w:r w:rsidR="005E17E2">
        <w:t>, 300, and twice</w:t>
      </w:r>
      <w:r w:rsidRPr="006209B5">
        <w:t xml:space="preserve"> 500 mM imidazole).</w:t>
      </w:r>
      <w:r w:rsidR="005E17E2">
        <w:t xml:space="preserve"> Fractions in lane 2 and 3 were pooled for further analysis.</w:t>
      </w:r>
    </w:p>
    <w:p w:rsidR="00EC44B5" w:rsidRDefault="00EC44B5" w:rsidP="006209B5">
      <w:pPr>
        <w:spacing w:after="0"/>
        <w:jc w:val="both"/>
      </w:pPr>
    </w:p>
    <w:p w:rsidR="00EC44B5" w:rsidRDefault="00EC44B5" w:rsidP="006209B5">
      <w:pPr>
        <w:spacing w:after="0"/>
        <w:jc w:val="both"/>
      </w:pPr>
      <w:r>
        <w:rPr>
          <w:noProof/>
        </w:rPr>
        <w:drawing>
          <wp:inline distT="0" distB="0" distL="0" distR="0">
            <wp:extent cx="3562066" cy="2830881"/>
            <wp:effectExtent l="0" t="0" r="635" b="7620"/>
            <wp:docPr id="2" name="Picture 2" descr="C:\Toby_Work\in house projects\dimitris\g6pdh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C:\Toby_Work\in house projects\dimitris\g6pdh simul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447" cy="28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B5" w:rsidRPr="00EC44B5" w:rsidRDefault="00EC44B5" w:rsidP="006209B5">
      <w:pPr>
        <w:spacing w:after="0"/>
        <w:jc w:val="both"/>
      </w:pPr>
      <w:r w:rsidRPr="00F6372A">
        <w:rPr>
          <w:b/>
        </w:rPr>
        <w:t>Suppl. Figure 2</w:t>
      </w:r>
      <w:r w:rsidR="00F6372A">
        <w:t xml:space="preserve"> </w:t>
      </w:r>
      <w:r>
        <w:t>Simulated initial reaction velocities for glucose-6-phosphate dehydrogenase using rate laws without NADPH inhibition (Equation 1) and with NADPH inhibition (Equation 2). Experimentally determined kinetic parameters</w:t>
      </w:r>
      <w:r w:rsidR="00F72959">
        <w:t xml:space="preserve"> and intracellular cofactor concentrations</w:t>
      </w:r>
      <w:r>
        <w:t xml:space="preserve"> were used (Table 1). </w:t>
      </w:r>
      <w:r w:rsidR="00F6372A">
        <w:t xml:space="preserve">Intracellular concentrations from wildtype and from </w:t>
      </w:r>
      <w:proofErr w:type="spellStart"/>
      <w:r w:rsidR="00F6372A">
        <w:t>pgi</w:t>
      </w:r>
      <w:proofErr w:type="spellEnd"/>
      <w:r w:rsidR="00F6372A">
        <w:t xml:space="preserve"> knockout are shown with solid and dashed lines respectively. </w:t>
      </w:r>
      <w:r>
        <w:t xml:space="preserve">Actual intracellular glucose-6-phosphate concentrations for wildtype and </w:t>
      </w:r>
      <w:proofErr w:type="spellStart"/>
      <w:r>
        <w:rPr>
          <w:i/>
        </w:rPr>
        <w:t>pgi</w:t>
      </w:r>
      <w:proofErr w:type="spellEnd"/>
      <w:r>
        <w:t xml:space="preserve"> knockout are indicated by the grey bars.</w:t>
      </w:r>
    </w:p>
    <w:p w:rsidR="00B279BA" w:rsidRDefault="00B279BA" w:rsidP="00B279BA">
      <w:pPr>
        <w:spacing w:after="0"/>
        <w:ind w:left="720" w:hanging="720"/>
        <w:jc w:val="both"/>
        <w:rPr>
          <w:lang w:val="en-GB"/>
        </w:rPr>
      </w:pPr>
    </w:p>
    <w:p w:rsidR="002F57D8" w:rsidRDefault="002F57D8" w:rsidP="00B279BA">
      <w:pPr>
        <w:spacing w:after="0"/>
        <w:ind w:left="720" w:hanging="720"/>
        <w:jc w:val="both"/>
        <w:rPr>
          <w:lang w:val="en-GB"/>
        </w:rPr>
      </w:pPr>
    </w:p>
    <w:p w:rsidR="00F6372A" w:rsidRDefault="00F6372A">
      <w:pPr>
        <w:rPr>
          <w:lang w:val="en-GB"/>
        </w:rPr>
      </w:pPr>
      <w:r>
        <w:rPr>
          <w:lang w:val="en-GB"/>
        </w:rPr>
        <w:br w:type="page"/>
      </w:r>
    </w:p>
    <w:p w:rsidR="00B279BA" w:rsidRDefault="00B279BA" w:rsidP="00B279BA">
      <w:pPr>
        <w:spacing w:after="0"/>
        <w:ind w:left="720" w:hanging="720"/>
        <w:jc w:val="both"/>
        <w:rPr>
          <w:b/>
          <w:lang w:val="en-GB"/>
        </w:rPr>
      </w:pPr>
      <w:r w:rsidRPr="00F6372A">
        <w:rPr>
          <w:b/>
          <w:lang w:val="en-GB"/>
        </w:rPr>
        <w:lastRenderedPageBreak/>
        <w:t>References</w:t>
      </w:r>
    </w:p>
    <w:p w:rsidR="00F6372A" w:rsidRPr="00F6372A" w:rsidRDefault="00F6372A" w:rsidP="00B279BA">
      <w:pPr>
        <w:spacing w:after="0"/>
        <w:ind w:left="720" w:hanging="720"/>
        <w:jc w:val="both"/>
        <w:rPr>
          <w:b/>
          <w:lang w:val="en-GB"/>
        </w:rPr>
      </w:pPr>
    </w:p>
    <w:p w:rsidR="000E04EA" w:rsidRDefault="006B143B" w:rsidP="00B279BA">
      <w:pPr>
        <w:spacing w:after="0"/>
        <w:ind w:left="720" w:hanging="720"/>
        <w:jc w:val="both"/>
        <w:rPr>
          <w:lang w:val="en-GB"/>
        </w:rPr>
      </w:pPr>
      <w:r>
        <w:rPr>
          <w:lang w:val="en-GB"/>
        </w:rPr>
        <w:t>1</w:t>
      </w:r>
      <w:r w:rsidR="00B279BA">
        <w:rPr>
          <w:lang w:val="en-GB"/>
        </w:rPr>
        <w:t>)</w:t>
      </w:r>
      <w:r w:rsidR="00B279BA">
        <w:rPr>
          <w:lang w:val="en-GB"/>
        </w:rPr>
        <w:tab/>
      </w:r>
      <w:proofErr w:type="spellStart"/>
      <w:r w:rsidR="00B279BA" w:rsidRPr="00580A4B">
        <w:rPr>
          <w:lang w:val="en-GB"/>
        </w:rPr>
        <w:t>Chassagnole</w:t>
      </w:r>
      <w:proofErr w:type="spellEnd"/>
      <w:r w:rsidR="00B279BA" w:rsidRPr="00580A4B">
        <w:rPr>
          <w:lang w:val="en-GB"/>
        </w:rPr>
        <w:t xml:space="preserve">, C., et al., </w:t>
      </w:r>
      <w:r w:rsidR="00B279BA" w:rsidRPr="00580A4B">
        <w:rPr>
          <w:i/>
          <w:lang w:val="en-GB"/>
        </w:rPr>
        <w:t xml:space="preserve">Dynamic </w:t>
      </w:r>
      <w:proofErr w:type="spellStart"/>
      <w:r w:rsidR="00B279BA" w:rsidRPr="00580A4B">
        <w:rPr>
          <w:i/>
          <w:lang w:val="en-GB"/>
        </w:rPr>
        <w:t>modeling</w:t>
      </w:r>
      <w:proofErr w:type="spellEnd"/>
      <w:r w:rsidR="00B279BA" w:rsidRPr="00580A4B">
        <w:rPr>
          <w:i/>
          <w:lang w:val="en-GB"/>
        </w:rPr>
        <w:t xml:space="preserve"> of the central carbon metabolism of Escherichia coli.</w:t>
      </w:r>
      <w:r w:rsidR="00B279BA" w:rsidRPr="00580A4B">
        <w:rPr>
          <w:lang w:val="en-GB"/>
        </w:rPr>
        <w:t xml:space="preserve"> Biotechnology and Bioengineering, 2002. </w:t>
      </w:r>
      <w:r w:rsidR="00B279BA" w:rsidRPr="00580A4B">
        <w:rPr>
          <w:b/>
          <w:lang w:val="en-GB"/>
        </w:rPr>
        <w:t>79</w:t>
      </w:r>
      <w:r w:rsidR="00B279BA" w:rsidRPr="00580A4B">
        <w:rPr>
          <w:lang w:val="en-GB"/>
        </w:rPr>
        <w:t>(1): p. 53-73.</w:t>
      </w:r>
    </w:p>
    <w:p w:rsidR="006B143B" w:rsidRDefault="00A22AEA" w:rsidP="00B279BA">
      <w:pPr>
        <w:spacing w:after="0"/>
        <w:ind w:left="720" w:hanging="720"/>
        <w:jc w:val="both"/>
        <w:rPr>
          <w:lang w:val="en-GB"/>
        </w:rPr>
      </w:pPr>
      <w:r>
        <w:rPr>
          <w:lang w:val="en-GB"/>
        </w:rPr>
        <w:t>2</w:t>
      </w:r>
      <w:r w:rsidR="006B143B">
        <w:rPr>
          <w:lang w:val="en-GB"/>
        </w:rPr>
        <w:t>)</w:t>
      </w:r>
      <w:r w:rsidR="006B143B">
        <w:rPr>
          <w:lang w:val="en-GB"/>
        </w:rPr>
        <w:tab/>
      </w:r>
      <w:r w:rsidR="006B143B" w:rsidRPr="006B143B">
        <w:rPr>
          <w:lang w:val="en-GB"/>
        </w:rPr>
        <w:t xml:space="preserve">Bauer, H. P., T. Srihari, J. C. </w:t>
      </w:r>
      <w:proofErr w:type="spellStart"/>
      <w:r w:rsidR="006B143B" w:rsidRPr="006B143B">
        <w:rPr>
          <w:lang w:val="en-GB"/>
        </w:rPr>
        <w:t>Jochims</w:t>
      </w:r>
      <w:proofErr w:type="spellEnd"/>
      <w:r w:rsidR="006B143B" w:rsidRPr="006B143B">
        <w:rPr>
          <w:lang w:val="en-GB"/>
        </w:rPr>
        <w:t xml:space="preserve">, and H. W. Hofer. 1983. 6-phosphogluconolactonase. Purification, properties and activities in various tissues. Eur. J. </w:t>
      </w:r>
      <w:proofErr w:type="spellStart"/>
      <w:r w:rsidR="006B143B" w:rsidRPr="006B143B">
        <w:rPr>
          <w:lang w:val="en-GB"/>
        </w:rPr>
        <w:t>Biochem</w:t>
      </w:r>
      <w:proofErr w:type="spellEnd"/>
      <w:r w:rsidR="006B143B" w:rsidRPr="006B143B">
        <w:rPr>
          <w:lang w:val="en-GB"/>
        </w:rPr>
        <w:t>. 133:163-168.</w:t>
      </w:r>
    </w:p>
    <w:p w:rsidR="00A22AEA" w:rsidRDefault="00A22AEA" w:rsidP="00A22AEA">
      <w:pPr>
        <w:spacing w:after="0"/>
        <w:ind w:left="720" w:hanging="720"/>
        <w:jc w:val="both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>)</w:t>
      </w:r>
      <w:r>
        <w:rPr>
          <w:lang w:val="en-GB"/>
        </w:rPr>
        <w:tab/>
      </w:r>
      <w:r w:rsidRPr="00A22AEA">
        <w:rPr>
          <w:lang w:val="en-GB"/>
        </w:rPr>
        <w:t xml:space="preserve">Luo, B., K. </w:t>
      </w:r>
      <w:proofErr w:type="spellStart"/>
      <w:r w:rsidRPr="00A22AEA">
        <w:rPr>
          <w:lang w:val="en-GB"/>
        </w:rPr>
        <w:t>Groenke</w:t>
      </w:r>
      <w:proofErr w:type="spellEnd"/>
      <w:r w:rsidRPr="00A22AEA">
        <w:rPr>
          <w:lang w:val="en-GB"/>
        </w:rPr>
        <w:t xml:space="preserve">, R. </w:t>
      </w:r>
      <w:proofErr w:type="spellStart"/>
      <w:r w:rsidRPr="00A22AEA">
        <w:rPr>
          <w:lang w:val="en-GB"/>
        </w:rPr>
        <w:t>Takors</w:t>
      </w:r>
      <w:proofErr w:type="spellEnd"/>
      <w:r w:rsidRPr="00A22AEA">
        <w:rPr>
          <w:lang w:val="en-GB"/>
        </w:rPr>
        <w:t xml:space="preserve">, C. </w:t>
      </w:r>
      <w:proofErr w:type="spellStart"/>
      <w:r w:rsidRPr="00A22AEA">
        <w:rPr>
          <w:lang w:val="en-GB"/>
        </w:rPr>
        <w:t>Wandrey</w:t>
      </w:r>
      <w:proofErr w:type="spellEnd"/>
      <w:r w:rsidRPr="00A22AEA">
        <w:rPr>
          <w:lang w:val="en-GB"/>
        </w:rPr>
        <w:t xml:space="preserve">, and M. </w:t>
      </w:r>
      <w:proofErr w:type="spellStart"/>
      <w:r w:rsidRPr="00A22AEA">
        <w:rPr>
          <w:lang w:val="en-GB"/>
        </w:rPr>
        <w:t>Oldiges</w:t>
      </w:r>
      <w:proofErr w:type="spellEnd"/>
      <w:r w:rsidRPr="00A22AEA">
        <w:rPr>
          <w:lang w:val="en-GB"/>
        </w:rPr>
        <w:t xml:space="preserve">. 2007. Simultaneous determination of multiple intracellular metabolites in glycolysis, pentose phosphate pathway and tricarboxylic acid cycle by liquid chromatography-mass spectrometry. J. </w:t>
      </w:r>
      <w:proofErr w:type="spellStart"/>
      <w:r w:rsidRPr="00A22AEA">
        <w:rPr>
          <w:lang w:val="en-GB"/>
        </w:rPr>
        <w:t>Chromatogr</w:t>
      </w:r>
      <w:proofErr w:type="spellEnd"/>
      <w:r w:rsidRPr="00A22AEA">
        <w:rPr>
          <w:lang w:val="en-GB"/>
        </w:rPr>
        <w:t xml:space="preserve">. </w:t>
      </w:r>
      <w:proofErr w:type="gramStart"/>
      <w:r w:rsidRPr="00A22AEA">
        <w:rPr>
          <w:lang w:val="en-GB"/>
        </w:rPr>
        <w:t>A</w:t>
      </w:r>
      <w:proofErr w:type="gramEnd"/>
      <w:r w:rsidRPr="00A22AEA">
        <w:rPr>
          <w:lang w:val="en-GB"/>
        </w:rPr>
        <w:t xml:space="preserve"> 1147:153-164.</w:t>
      </w:r>
    </w:p>
    <w:p w:rsidR="0030215B" w:rsidRDefault="00A22AEA" w:rsidP="00B279BA">
      <w:pPr>
        <w:spacing w:after="0"/>
        <w:ind w:left="720" w:hanging="720"/>
        <w:jc w:val="both"/>
        <w:rPr>
          <w:lang w:val="en-GB"/>
        </w:rPr>
      </w:pPr>
      <w:r>
        <w:rPr>
          <w:lang w:val="en-GB"/>
        </w:rPr>
        <w:t>4</w:t>
      </w:r>
      <w:r w:rsidR="0030215B">
        <w:rPr>
          <w:lang w:val="en-GB"/>
        </w:rPr>
        <w:t>)</w:t>
      </w:r>
      <w:r w:rsidR="0030215B">
        <w:rPr>
          <w:lang w:val="en-GB"/>
        </w:rPr>
        <w:tab/>
      </w:r>
      <w:r w:rsidR="0030215B" w:rsidRPr="0030215B">
        <w:rPr>
          <w:lang w:val="en-GB"/>
        </w:rPr>
        <w:t xml:space="preserve">Kitagawa, M., T. Ara, M. </w:t>
      </w:r>
      <w:proofErr w:type="spellStart"/>
      <w:r w:rsidR="0030215B" w:rsidRPr="0030215B">
        <w:rPr>
          <w:lang w:val="en-GB"/>
        </w:rPr>
        <w:t>Arifuzzaman</w:t>
      </w:r>
      <w:proofErr w:type="spellEnd"/>
      <w:r w:rsidR="0030215B" w:rsidRPr="0030215B">
        <w:rPr>
          <w:lang w:val="en-GB"/>
        </w:rPr>
        <w:t xml:space="preserve">, T. </w:t>
      </w:r>
      <w:proofErr w:type="spellStart"/>
      <w:r w:rsidR="0030215B" w:rsidRPr="0030215B">
        <w:rPr>
          <w:lang w:val="en-GB"/>
        </w:rPr>
        <w:t>Ioka-Nakamichi</w:t>
      </w:r>
      <w:proofErr w:type="spellEnd"/>
      <w:r w:rsidR="0030215B" w:rsidRPr="0030215B">
        <w:rPr>
          <w:lang w:val="en-GB"/>
        </w:rPr>
        <w:t xml:space="preserve">, E. </w:t>
      </w:r>
      <w:proofErr w:type="spellStart"/>
      <w:r w:rsidR="0030215B" w:rsidRPr="0030215B">
        <w:rPr>
          <w:lang w:val="en-GB"/>
        </w:rPr>
        <w:t>Inamoto</w:t>
      </w:r>
      <w:proofErr w:type="spellEnd"/>
      <w:r w:rsidR="0030215B" w:rsidRPr="0030215B">
        <w:rPr>
          <w:lang w:val="en-GB"/>
        </w:rPr>
        <w:t xml:space="preserve">, H. </w:t>
      </w:r>
      <w:proofErr w:type="spellStart"/>
      <w:r w:rsidR="0030215B" w:rsidRPr="0030215B">
        <w:rPr>
          <w:lang w:val="en-GB"/>
        </w:rPr>
        <w:t>Toyonaga</w:t>
      </w:r>
      <w:proofErr w:type="spellEnd"/>
      <w:r w:rsidR="0030215B" w:rsidRPr="0030215B">
        <w:rPr>
          <w:lang w:val="en-GB"/>
        </w:rPr>
        <w:t>, and H. Mori. 2005. Complete set of ORF clones of Escherichia coli ASKA library (a complete set of Escherichia coli K-12 ORF archive): unique resources for biological research. DNA Res. 12:291-299.</w:t>
      </w:r>
    </w:p>
    <w:p w:rsidR="003E6528" w:rsidRPr="00B279BA" w:rsidRDefault="003E6528" w:rsidP="003E6528">
      <w:pPr>
        <w:spacing w:after="0"/>
        <w:ind w:left="720" w:hanging="720"/>
        <w:jc w:val="both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Pr="003E6528">
        <w:rPr>
          <w:lang w:val="en-GB"/>
        </w:rPr>
        <w:t xml:space="preserve">Karel </w:t>
      </w:r>
      <w:proofErr w:type="spellStart"/>
      <w:r w:rsidRPr="003E6528">
        <w:rPr>
          <w:lang w:val="en-GB"/>
        </w:rPr>
        <w:t>Olavarrı´a</w:t>
      </w:r>
      <w:proofErr w:type="spellEnd"/>
      <w:r w:rsidRPr="003E6528">
        <w:rPr>
          <w:lang w:val="en-GB"/>
        </w:rPr>
        <w:t xml:space="preserve">, Diego </w:t>
      </w:r>
      <w:proofErr w:type="spellStart"/>
      <w:r w:rsidRPr="003E6528">
        <w:rPr>
          <w:lang w:val="en-GB"/>
        </w:rPr>
        <w:t>Valde</w:t>
      </w:r>
      <w:proofErr w:type="spellEnd"/>
      <w:r w:rsidRPr="003E6528">
        <w:rPr>
          <w:lang w:val="en-GB"/>
        </w:rPr>
        <w:t>´ s and Ricardo Cabrera</w:t>
      </w:r>
      <w:r>
        <w:rPr>
          <w:lang w:val="en-GB"/>
        </w:rPr>
        <w:t xml:space="preserve">, </w:t>
      </w:r>
      <w:r w:rsidRPr="003E6528">
        <w:rPr>
          <w:lang w:val="en-GB"/>
        </w:rPr>
        <w:t>The cofactor pr</w:t>
      </w:r>
      <w:r>
        <w:rPr>
          <w:lang w:val="en-GB"/>
        </w:rPr>
        <w:t xml:space="preserve">eference of glucose-6-phosphate </w:t>
      </w:r>
      <w:r w:rsidRPr="003E6528">
        <w:rPr>
          <w:lang w:val="en-GB"/>
        </w:rPr>
        <w:t xml:space="preserve">dehydrogenase from </w:t>
      </w:r>
      <w:r>
        <w:rPr>
          <w:lang w:val="en-GB"/>
        </w:rPr>
        <w:t xml:space="preserve">Escherichia coli –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the </w:t>
      </w:r>
      <w:r w:rsidRPr="003E6528">
        <w:rPr>
          <w:lang w:val="en-GB"/>
        </w:rPr>
        <w:t>physiological production of reduced cofactors</w:t>
      </w:r>
      <w:r>
        <w:rPr>
          <w:lang w:val="en-GB"/>
        </w:rPr>
        <w:t xml:space="preserve">. </w:t>
      </w:r>
      <w:r w:rsidRPr="003E6528">
        <w:rPr>
          <w:lang w:val="en-GB"/>
        </w:rPr>
        <w:t>FEBS Journal 279 (2012) 2296–2309</w:t>
      </w:r>
    </w:p>
    <w:sectPr w:rsidR="003E6528" w:rsidRPr="00B279B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E4"/>
    <w:rsid w:val="000D1411"/>
    <w:rsid w:val="000E04EA"/>
    <w:rsid w:val="00174214"/>
    <w:rsid w:val="002F57D8"/>
    <w:rsid w:val="0030215B"/>
    <w:rsid w:val="003E6528"/>
    <w:rsid w:val="00480136"/>
    <w:rsid w:val="005E17E2"/>
    <w:rsid w:val="006209B5"/>
    <w:rsid w:val="006A082F"/>
    <w:rsid w:val="006B143B"/>
    <w:rsid w:val="0075095B"/>
    <w:rsid w:val="00757E11"/>
    <w:rsid w:val="007A0699"/>
    <w:rsid w:val="007D421A"/>
    <w:rsid w:val="008F2D55"/>
    <w:rsid w:val="0090291E"/>
    <w:rsid w:val="009D61E6"/>
    <w:rsid w:val="00A22AEA"/>
    <w:rsid w:val="00A62F1C"/>
    <w:rsid w:val="00B01BB4"/>
    <w:rsid w:val="00B279BA"/>
    <w:rsid w:val="00C06491"/>
    <w:rsid w:val="00EA40E4"/>
    <w:rsid w:val="00EC44B5"/>
    <w:rsid w:val="00F6372A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B45E19-7301-451D-94D6-F9BAB874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336B464B.dotm</Template>
  <TotalTime>0</TotalTime>
  <Pages>6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Fuhrer  Tobias</dc:creator>
  <cp:keywords/>
  <dc:description/>
  <cp:lastModifiedBy>Fuhrer  Tobias</cp:lastModifiedBy>
  <cp:revision>8</cp:revision>
  <dcterms:created xsi:type="dcterms:W3CDTF">2016-12-08T11:57:00Z</dcterms:created>
  <dcterms:modified xsi:type="dcterms:W3CDTF">2016-12-14T15:06:00Z</dcterms:modified>
</cp:coreProperties>
</file>