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050B" w14:textId="77777777" w:rsidR="00410A17" w:rsidRPr="00410A17" w:rsidRDefault="00410A17" w:rsidP="00410A1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410A17">
        <w:rPr>
          <w:rFonts w:ascii="Times New Roman" w:eastAsia="Times New Roman" w:hAnsi="Times New Roman" w:cs="Times New Roman"/>
          <w:b/>
          <w:bCs/>
          <w:kern w:val="0"/>
          <w:sz w:val="36"/>
          <w:szCs w:val="36"/>
          <w:lang w:eastAsia="el-GR"/>
          <w14:ligatures w14:val="none"/>
        </w:rPr>
        <w:t>Read of the situation</w:t>
      </w:r>
    </w:p>
    <w:p w14:paraId="4CFE3A6E"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kern w:val="0"/>
          <w:lang w:eastAsia="el-GR"/>
          <w14:ligatures w14:val="none"/>
        </w:rPr>
        <w:t xml:space="preserve">This is a </w:t>
      </w:r>
      <w:r w:rsidRPr="00410A17">
        <w:rPr>
          <w:rFonts w:ascii="Times New Roman" w:eastAsia="Times New Roman" w:hAnsi="Times New Roman" w:cs="Times New Roman"/>
          <w:b/>
          <w:bCs/>
          <w:kern w:val="0"/>
          <w:lang w:eastAsia="el-GR"/>
          <w14:ligatures w14:val="none"/>
        </w:rPr>
        <w:t>high-consequence port-security scenario</w:t>
      </w:r>
      <w:r w:rsidRPr="00410A17">
        <w:rPr>
          <w:rFonts w:ascii="Times New Roman" w:eastAsia="Times New Roman" w:hAnsi="Times New Roman" w:cs="Times New Roman"/>
          <w:kern w:val="0"/>
          <w:lang w:eastAsia="el-GR"/>
          <w14:ligatures w14:val="none"/>
        </w:rPr>
        <w:t xml:space="preserve"> at Rotterdam: intelligence warns of possible IEDs in incoming containers, but the sensor and manifest data are ambiguous. The real question is whether to protect trade flow by waiting for stronger proof, or to isolate and inspect the highest-risk containers immediately.</w:t>
      </w:r>
    </w:p>
    <w:p w14:paraId="50147A16" w14:textId="77777777" w:rsidR="00410A17" w:rsidRPr="00410A17" w:rsidRDefault="00410A17" w:rsidP="00410A1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410A17">
        <w:rPr>
          <w:rFonts w:ascii="Times New Roman" w:eastAsia="Times New Roman" w:hAnsi="Times New Roman" w:cs="Times New Roman"/>
          <w:b/>
          <w:bCs/>
          <w:kern w:val="0"/>
          <w:sz w:val="36"/>
          <w:szCs w:val="36"/>
          <w:lang w:eastAsia="el-GR"/>
          <w14:ligatures w14:val="none"/>
        </w:rPr>
        <w:t>Recommendation</w:t>
      </w:r>
    </w:p>
    <w:p w14:paraId="3C9C6C98"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Immediately isolate the three AI-flagged high-risk containers, suspend nearby handling movements, establish a safety cordon, and hand the inspection/neutralization decision to EOD, customs, port security, and police command.</w:t>
      </w:r>
    </w:p>
    <w:p w14:paraId="57FECB73"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kern w:val="0"/>
          <w:lang w:eastAsia="el-GR"/>
          <w14:ligatures w14:val="none"/>
        </w:rPr>
        <w:t xml:space="preserve">One-line reason: </w:t>
      </w:r>
      <w:r w:rsidRPr="00410A17">
        <w:rPr>
          <w:rFonts w:ascii="Times New Roman" w:eastAsia="Times New Roman" w:hAnsi="Times New Roman" w:cs="Times New Roman"/>
          <w:b/>
          <w:bCs/>
          <w:kern w:val="0"/>
          <w:lang w:eastAsia="el-GR"/>
          <w14:ligatures w14:val="none"/>
        </w:rPr>
        <w:t>when intelligence, sensor anomalies, manifest irregularities, and AI risk scoring converge, the downside of delay is catastrophic, while disruption can be contained by prioritizing only the highest-risk containers.</w:t>
      </w:r>
    </w:p>
    <w:p w14:paraId="64CFD883" w14:textId="77777777" w:rsidR="00410A17" w:rsidRPr="00410A17" w:rsidRDefault="00410A17" w:rsidP="00410A1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410A17">
        <w:rPr>
          <w:rFonts w:ascii="Times New Roman" w:eastAsia="Times New Roman" w:hAnsi="Times New Roman" w:cs="Times New Roman"/>
          <w:b/>
          <w:bCs/>
          <w:kern w:val="0"/>
          <w:sz w:val="36"/>
          <w:szCs w:val="36"/>
          <w:lang w:eastAsia="el-GR"/>
          <w14:ligatures w14:val="none"/>
        </w:rPr>
        <w:t>Why</w:t>
      </w:r>
    </w:p>
    <w:p w14:paraId="14B1FC59"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kern w:val="0"/>
          <w:lang w:eastAsia="el-GR"/>
          <w14:ligatures w14:val="none"/>
        </w:rPr>
        <w:t>Rotterdam is Europe’s largest port, so a full terminal shutdown would be costly and disruptive; however, its own port-security framework is built around ISPS-based security levels, risk assessment, and additional measures when threat levels rise. (</w:t>
      </w:r>
      <w:hyperlink r:id="rId5" w:tooltip="Port of Rotterdam | Rotterdam Port Authority" w:history="1">
        <w:r w:rsidRPr="00410A17">
          <w:rPr>
            <w:rFonts w:ascii="Times New Roman" w:eastAsia="Times New Roman" w:hAnsi="Times New Roman" w:cs="Times New Roman"/>
            <w:color w:val="0000FF"/>
            <w:kern w:val="0"/>
            <w:u w:val="single"/>
            <w:lang w:eastAsia="el-GR"/>
            <w14:ligatures w14:val="none"/>
          </w:rPr>
          <w:t>Port of Rotterdam</w:t>
        </w:r>
      </w:hyperlink>
      <w:r w:rsidRPr="00410A17">
        <w:rPr>
          <w:rFonts w:ascii="Times New Roman" w:eastAsia="Times New Roman" w:hAnsi="Times New Roman" w:cs="Times New Roman"/>
          <w:kern w:val="0"/>
          <w:lang w:eastAsia="el-GR"/>
          <w14:ligatures w14:val="none"/>
        </w:rPr>
        <w:t>) (</w:t>
      </w:r>
      <w:hyperlink r:id="rId6" w:tooltip="Port Security | Port of Rotterdam" w:history="1">
        <w:r w:rsidRPr="00410A17">
          <w:rPr>
            <w:rFonts w:ascii="Times New Roman" w:eastAsia="Times New Roman" w:hAnsi="Times New Roman" w:cs="Times New Roman"/>
            <w:color w:val="0000FF"/>
            <w:kern w:val="0"/>
            <w:u w:val="single"/>
            <w:lang w:eastAsia="el-GR"/>
            <w14:ligatures w14:val="none"/>
          </w:rPr>
          <w:t>Port of Rotterdam</w:t>
        </w:r>
      </w:hyperlink>
      <w:r w:rsidRPr="00410A17">
        <w:rPr>
          <w:rFonts w:ascii="Times New Roman" w:eastAsia="Times New Roman" w:hAnsi="Times New Roman" w:cs="Times New Roman"/>
          <w:kern w:val="0"/>
          <w:lang w:eastAsia="el-GR"/>
          <w14:ligatures w14:val="none"/>
        </w:rPr>
        <w:t>) EU maritime-security legislation also frames ship and port-facility security as preventive protection against intentional unlawful acts. (</w:t>
      </w:r>
      <w:hyperlink r:id="rId7" w:tooltip="EU legislation on Maritime Security" w:history="1">
        <w:r w:rsidRPr="00410A17">
          <w:rPr>
            <w:rFonts w:ascii="Times New Roman" w:eastAsia="Times New Roman" w:hAnsi="Times New Roman" w:cs="Times New Roman"/>
            <w:color w:val="0000FF"/>
            <w:kern w:val="0"/>
            <w:u w:val="single"/>
            <w:lang w:eastAsia="el-GR"/>
            <w14:ligatures w14:val="none"/>
          </w:rPr>
          <w:t>Mobility and Transport</w:t>
        </w:r>
      </w:hyperlink>
      <w:r w:rsidRPr="00410A17">
        <w:rPr>
          <w:rFonts w:ascii="Times New Roman" w:eastAsia="Times New Roman" w:hAnsi="Times New Roman" w:cs="Times New Roman"/>
          <w:kern w:val="0"/>
          <w:lang w:eastAsia="el-GR"/>
          <w14:ligatures w14:val="none"/>
        </w:rPr>
        <w:t>)</w:t>
      </w:r>
    </w:p>
    <w:p w14:paraId="0B2AA53F"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kern w:val="0"/>
          <w:lang w:eastAsia="el-GR"/>
          <w14:ligatures w14:val="none"/>
        </w:rPr>
        <w:t>The options are:</w:t>
      </w:r>
    </w:p>
    <w:p w14:paraId="7E121D3A"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Option 1 — Continue normal processing while collecting more data.</w:t>
      </w:r>
      <w:r w:rsidRPr="00410A17">
        <w:rPr>
          <w:rFonts w:ascii="Times New Roman" w:eastAsia="Times New Roman" w:hAnsi="Times New Roman" w:cs="Times New Roman"/>
          <w:kern w:val="0"/>
          <w:lang w:eastAsia="el-GR"/>
          <w14:ligatures w14:val="none"/>
        </w:rPr>
        <w:br/>
        <w:t>This protects throughput, but it is the wrong default. If the threat is real, moving containers deeper into the logistics chain increases exposure, complicates tracking, and may endanger workers and the public.</w:t>
      </w:r>
    </w:p>
    <w:p w14:paraId="17F834E1"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Option 2 — Shut down the entire port/terminal immediately.</w:t>
      </w:r>
      <w:r w:rsidRPr="00410A17">
        <w:rPr>
          <w:rFonts w:ascii="Times New Roman" w:eastAsia="Times New Roman" w:hAnsi="Times New Roman" w:cs="Times New Roman"/>
          <w:kern w:val="0"/>
          <w:lang w:eastAsia="el-GR"/>
          <w14:ligatures w14:val="none"/>
        </w:rPr>
        <w:br/>
        <w:t>This maximizes caution, but it may be disproportionate unless the threat scope is wider than the three containers. It also creates congestion and secondary safety/security problems.</w:t>
      </w:r>
    </w:p>
    <w:p w14:paraId="28116A7D"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Option 3 — Targeted isolation and EOD-led inspection of the highest-risk containers.</w:t>
      </w:r>
      <w:r w:rsidRPr="00410A17">
        <w:rPr>
          <w:rFonts w:ascii="Times New Roman" w:eastAsia="Times New Roman" w:hAnsi="Times New Roman" w:cs="Times New Roman"/>
          <w:kern w:val="0"/>
          <w:lang w:eastAsia="el-GR"/>
          <w14:ligatures w14:val="none"/>
        </w:rPr>
        <w:br/>
        <w:t>This is the best balance. It treats the threat as credible while limiting disruption to defined areas and evidence-linked cargo.</w:t>
      </w:r>
    </w:p>
    <w:p w14:paraId="3F2F1394"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kern w:val="0"/>
          <w:lang w:eastAsia="el-GR"/>
          <w14:ligatures w14:val="none"/>
        </w:rPr>
        <w:t>General suspicious-package guidance supports not touching or moving suspicious items, isolating them, and notifying police/emergency authorities; that logic applies even more strongly to suspected explosive cargo in a port environment. (</w:t>
      </w:r>
      <w:hyperlink r:id="rId8" w:tooltip="Bomb Threats and Suspicious Packages" w:history="1">
        <w:r w:rsidRPr="00410A17">
          <w:rPr>
            <w:rFonts w:ascii="Times New Roman" w:eastAsia="Times New Roman" w:hAnsi="Times New Roman" w:cs="Times New Roman"/>
            <w:color w:val="0000FF"/>
            <w:kern w:val="0"/>
            <w:u w:val="single"/>
            <w:lang w:eastAsia="el-GR"/>
            <w14:ligatures w14:val="none"/>
          </w:rPr>
          <w:t>northwestern.edu</w:t>
        </w:r>
      </w:hyperlink>
      <w:r w:rsidRPr="00410A17">
        <w:rPr>
          <w:rFonts w:ascii="Times New Roman" w:eastAsia="Times New Roman" w:hAnsi="Times New Roman" w:cs="Times New Roman"/>
          <w:kern w:val="0"/>
          <w:lang w:eastAsia="el-GR"/>
          <w14:ligatures w14:val="none"/>
        </w:rPr>
        <w:t>)</w:t>
      </w:r>
    </w:p>
    <w:p w14:paraId="0C0EEA43"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lastRenderedPageBreak/>
        <w:t>Main risk:</w:t>
      </w:r>
      <w:r w:rsidRPr="00410A17">
        <w:rPr>
          <w:rFonts w:ascii="Times New Roman" w:eastAsia="Times New Roman" w:hAnsi="Times New Roman" w:cs="Times New Roman"/>
          <w:kern w:val="0"/>
          <w:lang w:eastAsia="el-GR"/>
          <w14:ligatures w14:val="none"/>
        </w:rPr>
        <w:t xml:space="preserve"> false positives causing costly disruption and reputational damage.</w:t>
      </w:r>
      <w:r w:rsidRPr="00410A17">
        <w:rPr>
          <w:rFonts w:ascii="Times New Roman" w:eastAsia="Times New Roman" w:hAnsi="Times New Roman" w:cs="Times New Roman"/>
          <w:kern w:val="0"/>
          <w:lang w:eastAsia="el-GR"/>
          <w14:ligatures w14:val="none"/>
        </w:rPr>
        <w:br/>
      </w:r>
      <w:r w:rsidRPr="00410A17">
        <w:rPr>
          <w:rFonts w:ascii="Times New Roman" w:eastAsia="Times New Roman" w:hAnsi="Times New Roman" w:cs="Times New Roman"/>
          <w:b/>
          <w:bCs/>
          <w:kern w:val="0"/>
          <w:lang w:eastAsia="el-GR"/>
          <w14:ligatures w14:val="none"/>
        </w:rPr>
        <w:t>What would change the call:</w:t>
      </w:r>
      <w:r w:rsidRPr="00410A17">
        <w:rPr>
          <w:rFonts w:ascii="Times New Roman" w:eastAsia="Times New Roman" w:hAnsi="Times New Roman" w:cs="Times New Roman"/>
          <w:kern w:val="0"/>
          <w:lang w:eastAsia="el-GR"/>
          <w14:ligatures w14:val="none"/>
        </w:rPr>
        <w:t xml:space="preserve"> if further checks show the intelligence is unreliable, X-ray/chemical anomalies are explainable, documentation is verified, and EOD assesses the containers as low risk, operations can resume in stages. If one container is confirmed dangerous, expand the cordon and re-screen linked shipments.</w:t>
      </w:r>
    </w:p>
    <w:p w14:paraId="333DC97C" w14:textId="77777777" w:rsidR="00410A17" w:rsidRPr="00410A17" w:rsidRDefault="00410A17" w:rsidP="00410A1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410A17">
        <w:rPr>
          <w:rFonts w:ascii="Times New Roman" w:eastAsia="Times New Roman" w:hAnsi="Times New Roman" w:cs="Times New Roman"/>
          <w:b/>
          <w:bCs/>
          <w:kern w:val="0"/>
          <w:sz w:val="36"/>
          <w:szCs w:val="36"/>
          <w:lang w:eastAsia="el-GR"/>
          <w14:ligatures w14:val="none"/>
        </w:rPr>
        <w:t>Next steps</w:t>
      </w:r>
    </w:p>
    <w:p w14:paraId="646755EA"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Freeze the three flagged containers in place or move them only if EOD/port police judge movement safer.</w:t>
      </w:r>
      <w:r w:rsidRPr="00410A17">
        <w:rPr>
          <w:rFonts w:ascii="Times New Roman" w:eastAsia="Times New Roman" w:hAnsi="Times New Roman" w:cs="Times New Roman"/>
          <w:kern w:val="0"/>
          <w:lang w:eastAsia="el-GR"/>
          <w14:ligatures w14:val="none"/>
        </w:rPr>
        <w:t xml:space="preserve"> Do not let them enter road, rail, warehouse, or customs-release flow.</w:t>
      </w:r>
    </w:p>
    <w:p w14:paraId="6B57D0DD"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Create a controlled exclusion zone:</w:t>
      </w:r>
      <w:r w:rsidRPr="00410A17">
        <w:rPr>
          <w:rFonts w:ascii="Times New Roman" w:eastAsia="Times New Roman" w:hAnsi="Times New Roman" w:cs="Times New Roman"/>
          <w:kern w:val="0"/>
          <w:lang w:eastAsia="el-GR"/>
          <w14:ligatures w14:val="none"/>
        </w:rPr>
        <w:t xml:space="preserve"> stop nearby crane/truck movements, account for workers, restrict access, and reroute nonessential traffic.</w:t>
      </w:r>
    </w:p>
    <w:p w14:paraId="22F4ACD7"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Activate the joint command chain:</w:t>
      </w:r>
      <w:r w:rsidRPr="00410A17">
        <w:rPr>
          <w:rFonts w:ascii="Times New Roman" w:eastAsia="Times New Roman" w:hAnsi="Times New Roman" w:cs="Times New Roman"/>
          <w:kern w:val="0"/>
          <w:lang w:eastAsia="el-GR"/>
          <w14:ligatures w14:val="none"/>
        </w:rPr>
        <w:t xml:space="preserve"> Port Security Officer/Harbour Master structure, customs, police, EOD, terminal operator, shipping line, and intelligence liaison.</w:t>
      </w:r>
    </w:p>
    <w:p w14:paraId="1F978601"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Use AI as a triage tool, not the final authority:</w:t>
      </w:r>
      <w:r w:rsidRPr="00410A17">
        <w:rPr>
          <w:rFonts w:ascii="Times New Roman" w:eastAsia="Times New Roman" w:hAnsi="Times New Roman" w:cs="Times New Roman"/>
          <w:kern w:val="0"/>
          <w:lang w:eastAsia="el-GR"/>
          <w14:ligatures w14:val="none"/>
        </w:rPr>
        <w:t xml:space="preserve"> require human review of the AI explanation: manifest anomalies, origin/routing, X-ray irregularities, chemical trace results, container history, and behavioral indicators.</w:t>
      </w:r>
    </w:p>
    <w:p w14:paraId="12FC9C4C"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Preserve evidence:</w:t>
      </w:r>
      <w:r w:rsidRPr="00410A17">
        <w:rPr>
          <w:rFonts w:ascii="Times New Roman" w:eastAsia="Times New Roman" w:hAnsi="Times New Roman" w:cs="Times New Roman"/>
          <w:kern w:val="0"/>
          <w:lang w:eastAsia="el-GR"/>
          <w14:ligatures w14:val="none"/>
        </w:rPr>
        <w:t xml:space="preserve"> container IDs, seal numbers, scan images, sensor logs, manifests, CCTV, truck/terminal movement history, access logs, and all AI model outputs.</w:t>
      </w:r>
    </w:p>
    <w:p w14:paraId="0004D17A"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Screen linked cargo:</w:t>
      </w:r>
      <w:r w:rsidRPr="00410A17">
        <w:rPr>
          <w:rFonts w:ascii="Times New Roman" w:eastAsia="Times New Roman" w:hAnsi="Times New Roman" w:cs="Times New Roman"/>
          <w:kern w:val="0"/>
          <w:lang w:eastAsia="el-GR"/>
          <w14:ligatures w14:val="none"/>
        </w:rPr>
        <w:t xml:space="preserve"> containers from the same shipper, route, bill of lading, high-risk origin, or anomalous documentation pattern.</w:t>
      </w:r>
    </w:p>
    <w:p w14:paraId="53E4DBD5"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Communicate carefully:</w:t>
      </w:r>
      <w:r w:rsidRPr="00410A17">
        <w:rPr>
          <w:rFonts w:ascii="Times New Roman" w:eastAsia="Times New Roman" w:hAnsi="Times New Roman" w:cs="Times New Roman"/>
          <w:kern w:val="0"/>
          <w:lang w:eastAsia="el-GR"/>
          <w14:ligatures w14:val="none"/>
        </w:rPr>
        <w:t xml:space="preserve"> internally, say “security inspection due to credible anomaly”; avoid public claims of confirmed IEDs until confirmed by EOD.</w:t>
      </w:r>
    </w:p>
    <w:p w14:paraId="0DD26229" w14:textId="77777777" w:rsidR="00410A17" w:rsidRPr="00410A17" w:rsidRDefault="00410A17" w:rsidP="00410A1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b/>
          <w:bCs/>
          <w:kern w:val="0"/>
          <w:lang w:eastAsia="el-GR"/>
          <w14:ligatures w14:val="none"/>
        </w:rPr>
        <w:t>Resume operations in layers:</w:t>
      </w:r>
      <w:r w:rsidRPr="00410A17">
        <w:rPr>
          <w:rFonts w:ascii="Times New Roman" w:eastAsia="Times New Roman" w:hAnsi="Times New Roman" w:cs="Times New Roman"/>
          <w:kern w:val="0"/>
          <w:lang w:eastAsia="el-GR"/>
          <w14:ligatures w14:val="none"/>
        </w:rPr>
        <w:t xml:space="preserve"> first unaffected terminal zones, then cleared linked cargo, then the original containers only after EOD/police release.</w:t>
      </w:r>
    </w:p>
    <w:p w14:paraId="5B0C6FD2" w14:textId="77777777" w:rsidR="00410A17" w:rsidRPr="00410A17" w:rsidRDefault="00410A17" w:rsidP="00410A1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410A17">
        <w:rPr>
          <w:rFonts w:ascii="Times New Roman" w:eastAsia="Times New Roman" w:hAnsi="Times New Roman" w:cs="Times New Roman"/>
          <w:b/>
          <w:bCs/>
          <w:kern w:val="0"/>
          <w:sz w:val="36"/>
          <w:szCs w:val="36"/>
          <w:lang w:eastAsia="el-GR"/>
          <w14:ligatures w14:val="none"/>
        </w:rPr>
        <w:t>Open questions</w:t>
      </w:r>
    </w:p>
    <w:p w14:paraId="072ABC96" w14:textId="77777777" w:rsidR="00410A17" w:rsidRPr="00410A17" w:rsidRDefault="00410A17" w:rsidP="00410A17">
      <w:pPr>
        <w:spacing w:before="100" w:beforeAutospacing="1" w:after="100" w:afterAutospacing="1"/>
        <w:rPr>
          <w:rFonts w:ascii="Times New Roman" w:eastAsia="Times New Roman" w:hAnsi="Times New Roman" w:cs="Times New Roman"/>
          <w:kern w:val="0"/>
          <w:lang w:eastAsia="el-GR"/>
          <w14:ligatures w14:val="none"/>
        </w:rPr>
      </w:pPr>
      <w:r w:rsidRPr="00410A17">
        <w:rPr>
          <w:rFonts w:ascii="Times New Roman" w:eastAsia="Times New Roman" w:hAnsi="Times New Roman" w:cs="Times New Roman"/>
          <w:kern w:val="0"/>
          <w:lang w:eastAsia="el-GR"/>
          <w14:ligatures w14:val="none"/>
        </w:rPr>
        <w:t>Confirm the AI confidence score, exact sensor anomalies, whether the containers are still in-stack or already moving, proximity to people/fuel/critical infrastructure, available EOD response time, and whether the threat intelligence identifies a specific vessel, shipper, route, or container series.</w:t>
      </w:r>
    </w:p>
    <w:p w14:paraId="05D27109"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5D3"/>
    <w:multiLevelType w:val="multilevel"/>
    <w:tmpl w:val="C740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2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17"/>
    <w:rsid w:val="000F1CC1"/>
    <w:rsid w:val="00410A17"/>
    <w:rsid w:val="0056380E"/>
    <w:rsid w:val="006173A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A7C721F"/>
  <w15:chartTrackingRefBased/>
  <w15:docId w15:val="{AA45A753-1611-D047-A824-14F1C4E0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10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410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10A1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410A1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10A1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10A1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10A1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10A1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410A1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410A1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10A1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410A1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10A1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10A1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10A1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10A17"/>
    <w:rPr>
      <w:rFonts w:eastAsiaTheme="majorEastAsia" w:cstheme="majorBidi"/>
      <w:color w:val="272727" w:themeColor="text1" w:themeTint="D8"/>
    </w:rPr>
  </w:style>
  <w:style w:type="paragraph" w:styleId="a3">
    <w:name w:val="Title"/>
    <w:basedOn w:val="a"/>
    <w:next w:val="a"/>
    <w:link w:val="Char"/>
    <w:uiPriority w:val="10"/>
    <w:qFormat/>
    <w:rsid w:val="00410A1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10A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0A1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10A1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10A17"/>
    <w:pPr>
      <w:spacing w:before="160" w:after="160"/>
      <w:jc w:val="center"/>
    </w:pPr>
    <w:rPr>
      <w:i/>
      <w:iCs/>
      <w:color w:val="404040" w:themeColor="text1" w:themeTint="BF"/>
    </w:rPr>
  </w:style>
  <w:style w:type="character" w:customStyle="1" w:styleId="Char1">
    <w:name w:val="Απόσπασμα Char"/>
    <w:basedOn w:val="a0"/>
    <w:link w:val="a5"/>
    <w:uiPriority w:val="29"/>
    <w:rsid w:val="00410A17"/>
    <w:rPr>
      <w:i/>
      <w:iCs/>
      <w:color w:val="404040" w:themeColor="text1" w:themeTint="BF"/>
    </w:rPr>
  </w:style>
  <w:style w:type="paragraph" w:styleId="a6">
    <w:name w:val="List Paragraph"/>
    <w:basedOn w:val="a"/>
    <w:uiPriority w:val="34"/>
    <w:qFormat/>
    <w:rsid w:val="00410A17"/>
    <w:pPr>
      <w:ind w:left="720"/>
      <w:contextualSpacing/>
    </w:pPr>
  </w:style>
  <w:style w:type="character" w:styleId="a7">
    <w:name w:val="Intense Emphasis"/>
    <w:basedOn w:val="a0"/>
    <w:uiPriority w:val="21"/>
    <w:qFormat/>
    <w:rsid w:val="00410A17"/>
    <w:rPr>
      <w:i/>
      <w:iCs/>
      <w:color w:val="0F4761" w:themeColor="accent1" w:themeShade="BF"/>
    </w:rPr>
  </w:style>
  <w:style w:type="paragraph" w:styleId="a8">
    <w:name w:val="Intense Quote"/>
    <w:basedOn w:val="a"/>
    <w:next w:val="a"/>
    <w:link w:val="Char2"/>
    <w:uiPriority w:val="30"/>
    <w:qFormat/>
    <w:rsid w:val="00410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10A17"/>
    <w:rPr>
      <w:i/>
      <w:iCs/>
      <w:color w:val="0F4761" w:themeColor="accent1" w:themeShade="BF"/>
    </w:rPr>
  </w:style>
  <w:style w:type="character" w:styleId="a9">
    <w:name w:val="Intense Reference"/>
    <w:basedOn w:val="a0"/>
    <w:uiPriority w:val="32"/>
    <w:qFormat/>
    <w:rsid w:val="00410A17"/>
    <w:rPr>
      <w:b/>
      <w:bCs/>
      <w:smallCaps/>
      <w:color w:val="0F4761" w:themeColor="accent1" w:themeShade="BF"/>
      <w:spacing w:val="5"/>
    </w:rPr>
  </w:style>
  <w:style w:type="paragraph" w:styleId="Web">
    <w:name w:val="Normal (Web)"/>
    <w:basedOn w:val="a"/>
    <w:uiPriority w:val="99"/>
    <w:semiHidden/>
    <w:unhideWhenUsed/>
    <w:rsid w:val="00410A17"/>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410A17"/>
    <w:rPr>
      <w:b/>
      <w:bCs/>
    </w:rPr>
  </w:style>
  <w:style w:type="character" w:styleId="-">
    <w:name w:val="Hyperlink"/>
    <w:basedOn w:val="a0"/>
    <w:uiPriority w:val="99"/>
    <w:semiHidden/>
    <w:unhideWhenUsed/>
    <w:rsid w:val="00410A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western.edu/emergency-management/how-you-can-prepare/bomb-threats-suspicious-packages.html?utm_source=chatgpt.com" TargetMode="External"/><Relationship Id="rId3" Type="http://schemas.openxmlformats.org/officeDocument/2006/relationships/settings" Target="settings.xml"/><Relationship Id="rId7" Type="http://schemas.openxmlformats.org/officeDocument/2006/relationships/hyperlink" Target="https://transport.ec.europa.eu/system/files/2016-09/legislation_maritime_securit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rtofrotterdam.com/en/contact-harbourmaster/port-security" TargetMode="External"/><Relationship Id="rId5" Type="http://schemas.openxmlformats.org/officeDocument/2006/relationships/hyperlink" Target="https://www.portofrotterdam.com/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3719</Characters>
  <Application>Microsoft Office Word</Application>
  <DocSecurity>0</DocSecurity>
  <Lines>68</Lines>
  <Paragraphs>24</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2026-06-14T14:51:00Z</dcterms:created>
  <dcterms:modified xsi:type="dcterms:W3CDTF">2026-06-14T14:51:00Z</dcterms:modified>
</cp:coreProperties>
</file>